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5C35" w:rsidRDefault="00EC0FFE">
      <w:pPr>
        <w:pStyle w:val="ConsPlusTitle"/>
        <w:spacing w:line="240" w:lineRule="exact"/>
        <w:jc w:val="right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Приложение 9</w:t>
      </w:r>
    </w:p>
    <w:p w:rsidR="00C15C35" w:rsidRDefault="00EC0FFE">
      <w:pPr>
        <w:pStyle w:val="ConsPlusTitle"/>
        <w:spacing w:line="240" w:lineRule="exact"/>
        <w:jc w:val="right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к тарифному соглашению</w:t>
      </w:r>
    </w:p>
    <w:p w:rsidR="00C15C35" w:rsidRDefault="00EC0FFE">
      <w:pPr>
        <w:pStyle w:val="ConsPlusTitle"/>
        <w:spacing w:line="240" w:lineRule="exact"/>
        <w:jc w:val="right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в сфере обязательного медицинского </w:t>
      </w:r>
    </w:p>
    <w:p w:rsidR="00C15C35" w:rsidRDefault="00EC0FFE">
      <w:pPr>
        <w:pStyle w:val="ConsPlusTitle"/>
        <w:spacing w:line="240" w:lineRule="exact"/>
        <w:jc w:val="right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страхования на территории </w:t>
      </w:r>
    </w:p>
    <w:p w:rsidR="00C15C35" w:rsidRDefault="00EC0FFE">
      <w:pPr>
        <w:pStyle w:val="ConsPlusTitle"/>
        <w:spacing w:line="240" w:lineRule="exact"/>
        <w:jc w:val="right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Ставропольского края</w:t>
      </w:r>
    </w:p>
    <w:p w:rsidR="00C15C35" w:rsidRDefault="00EC0FFE">
      <w:pPr>
        <w:pStyle w:val="ConsPlusTitle"/>
        <w:spacing w:line="240" w:lineRule="exact"/>
        <w:jc w:val="right"/>
        <w:rPr>
          <w:rFonts w:ascii="Times New Roman" w:hAnsi="Times New Roman" w:cs="Times New Roman"/>
          <w:b w:val="0"/>
          <w:bCs w:val="0"/>
          <w:sz w:val="28"/>
          <w:szCs w:val="28"/>
          <w:highlight w:val="yellow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от 26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white"/>
        </w:rPr>
        <w:t xml:space="preserve"> марта 2026 года</w:t>
      </w:r>
    </w:p>
    <w:p w:rsidR="00C15C35" w:rsidRDefault="00C15C35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C15C35" w:rsidRDefault="00C15C35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C15C35" w:rsidRDefault="00EC0FFE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ПОРЯДОК</w:t>
      </w:r>
    </w:p>
    <w:p w:rsidR="00C15C35" w:rsidRDefault="00EC0FFE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ПРИМЕНЕНИЯ ПОКАЗАТЕЛЕЙ РЕЗУЛЬТАТИВНОСТИ ДЕЯТЕЛЬНОСТИ</w:t>
      </w:r>
    </w:p>
    <w:p w:rsidR="00C15C35" w:rsidRDefault="00EC0FFE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МЕДИЦИНСКИХ ОРГАНИЗАЦИЙ НА ТЕРРИТОРИИ СТАВРОПОЛЬСКОГО КРАЯ</w:t>
      </w:r>
    </w:p>
    <w:p w:rsidR="00C15C35" w:rsidRDefault="00C15C3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15C35" w:rsidRDefault="00EC0FF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Основная цель применения методики стимулирования медицинских организаций – это снижение показателей смертности прикрепленного к ней населения.</w:t>
      </w:r>
    </w:p>
    <w:p w:rsidR="00C15C35" w:rsidRDefault="00EC0FF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  <w:highlight w:val="green"/>
        </w:rPr>
      </w:pPr>
      <w:r>
        <w:rPr>
          <w:rFonts w:ascii="Times New Roman" w:hAnsi="Times New Roman" w:cs="Times New Roman"/>
          <w:sz w:val="28"/>
          <w:szCs w:val="28"/>
        </w:rPr>
        <w:t>При оплате медицинской помощи по подушевому нормативу</w:t>
      </w:r>
      <w:r>
        <w:rPr>
          <w:rFonts w:ascii="Times New Roman" w:hAnsi="Times New Roman" w:cs="Times New Roman"/>
          <w:sz w:val="28"/>
          <w:szCs w:val="28"/>
        </w:rPr>
        <w:t xml:space="preserve"> финансирования на прикрепившихся лиц с учетом показателей результативности деятельности медицинской организации (включая показатели объема медицинской помощи), в том числе с включением расходов на медицинскую помощь, оказываемую в иных медицинских организ</w:t>
      </w:r>
      <w:r>
        <w:rPr>
          <w:rFonts w:ascii="Times New Roman" w:hAnsi="Times New Roman" w:cs="Times New Roman"/>
          <w:sz w:val="28"/>
          <w:szCs w:val="28"/>
        </w:rPr>
        <w:t>ациях и оплачиваемую за единицу объема медицинской помощи в составе средств, направляемых на финансовое обеспечение медицинской организации, имеющей прикрепившихся лиц, по подушевому нормативу финансирования, доля средств от базового подушевого норматива ф</w:t>
      </w:r>
      <w:r>
        <w:rPr>
          <w:rFonts w:ascii="Times New Roman" w:hAnsi="Times New Roman" w:cs="Times New Roman"/>
          <w:sz w:val="28"/>
          <w:szCs w:val="28"/>
        </w:rPr>
        <w:t>инансирования на прикрепившихся лиц, направляемых на выплаты медицинским организациям в случае достижения ими значений показателей результативности деятельности с учетом балльной оценки составляе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т не более 10%. </w:t>
      </w:r>
    </w:p>
    <w:p w:rsidR="00C15C35" w:rsidRDefault="00EC0FF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этом размер финансового обеспечения меди</w:t>
      </w:r>
      <w:r>
        <w:rPr>
          <w:rFonts w:ascii="Times New Roman" w:hAnsi="Times New Roman" w:cs="Times New Roman"/>
          <w:sz w:val="28"/>
          <w:szCs w:val="28"/>
        </w:rPr>
        <w:t>цинской помощи, оказанной медицинской организацией, имеющей прикрепившихся лиц, по подушевому нормативу финансирования определяется по следующей формуле:</w:t>
      </w:r>
    </w:p>
    <w:p w:rsidR="00C15C35" w:rsidRDefault="00EC0FFE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position w:val="-12"/>
          <w:sz w:val="28"/>
          <w:szCs w:val="28"/>
        </w:rPr>
        <mc:AlternateContent>
          <mc:Choice Requires="wpg">
            <w:drawing>
              <wp:inline distT="0" distB="0" distL="0" distR="0">
                <wp:extent cx="2095500" cy="304800"/>
                <wp:effectExtent l="0" t="0" r="0" b="0"/>
                <wp:docPr id="1" name="Рисунок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/>
                        </pic:cNvPicPr>
                      </pic:nvPicPr>
                      <pic:blipFill>
                        <a:blip r:embed="rId6">
                          <a:extLst>
                            <a:ext uri="{96DAC541-7B7A-43D3-8B79-37D633B846F1}">
                              <asvg:svgBlip xmlns:asvg="http://schemas.microsoft.com/office/drawing/2016/SVG/main" xmlns:w="http://schemas.openxmlformats.org/wordprocessingml/2006/main" xmlns:w10="urn:schemas-microsoft-com:office:word" xmlns:v="urn:schemas-microsoft-com:vml" xmlns:o="urn:schemas-microsoft-com:office:office" xmlns="" r:embed="rId12"/>
                            </a:ext>
                          </a:extLst>
                        </a:blip>
                        <a:stretch/>
                      </pic:blipFill>
                      <pic:spPr bwMode="auto">
                        <a:xfrm>
                          <a:off x="0" y="0"/>
                          <a:ext cx="20955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165.00pt;height:24.00pt;mso-wrap-distance-left:0.00pt;mso-wrap-distance-top:0.00pt;mso-wrap-distance-right:0.00pt;mso-wrap-distance-bottom:0.00pt;" stroked="f">
                <v:path textboxrect="0,0,0,0"/>
                <v:imagedata r:id="rId11" o:title=""/>
              </v:shape>
            </w:pict>
          </mc:Fallback>
        </mc:AlternateContent>
      </w:r>
    </w:p>
    <w:p w:rsidR="00C15C35" w:rsidRDefault="00EC0FF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где: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247"/>
        <w:gridCol w:w="7824"/>
      </w:tblGrid>
      <w:tr w:rsidR="00C15C35">
        <w:tc>
          <w:tcPr>
            <w:tcW w:w="12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ПН</w:t>
            </w:r>
          </w:p>
        </w:tc>
        <w:tc>
          <w:tcPr>
            <w:tcW w:w="78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15C35" w:rsidRDefault="00EC0FF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финансовое обеспечение медицинской помощи, оказанной медицинской организацией, имеющей при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крепившихся лиц, по подушевому нормативу финансирования, рублей;</w:t>
            </w:r>
          </w:p>
        </w:tc>
      </w:tr>
      <w:tr w:rsidR="00C15C35">
        <w:tc>
          <w:tcPr>
            <w:tcW w:w="12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РД</w:t>
            </w:r>
          </w:p>
        </w:tc>
        <w:tc>
          <w:tcPr>
            <w:tcW w:w="78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15C35" w:rsidRDefault="00EC0FF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объем средств, направляемых медицинским организациям в случае достижения ими значений показателей результативности деятельности согласно балльной оценке (далее - объем средств с учетом показателей результативности), рублей.</w:t>
            </w:r>
          </w:p>
        </w:tc>
      </w:tr>
      <w:tr w:rsidR="00C15C35">
        <w:tc>
          <w:tcPr>
            <w:tcW w:w="12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>
                      <wp:extent cx="552450" cy="276225"/>
                      <wp:effectExtent l="0" t="0" r="0" b="9525"/>
                      <wp:docPr id="2" name="Рисунок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3">
                                <a:extLst>
                                  <a:ext uri="{96DAC541-7B7A-43D3-8B79-37D633B846F1}">
                                    <asvg:svgBlip xmlns:asvg="http://schemas.microsoft.com/office/drawing/2016/SVG/main" xmlns:w="http://schemas.openxmlformats.org/wordprocessingml/2006/main" xmlns:w10="urn:schemas-microsoft-com:office:word" xmlns:v="urn:schemas-microsoft-com:vml" xmlns:o="urn:schemas-microsoft-com:office:office" xmlns="" r:embed="rId14"/>
                                  </a:ext>
                                </a:extLst>
                              </a:blip>
                              <a:stretch/>
                            </pic:blipFill>
                            <pic:spPr bwMode="auto">
                              <a:xfrm>
                                <a:off x="0" y="0"/>
                                <a:ext cx="552450" cy="2762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width:43.50pt;height:21.75pt;mso-wrap-distance-left:0.00pt;mso-wrap-distance-top:0.00pt;mso-wrap-distance-right:0.00pt;mso-wrap-distance-bottom:0.00pt;" stroked="f">
                      <v:path textboxrect="0,0,0,0"/>
                      <v:imagedata r:id="rId15" o:title=""/>
                    </v:shape>
                  </w:pict>
                </mc:Fallback>
              </mc:AlternateContent>
            </w:r>
          </w:p>
        </w:tc>
        <w:tc>
          <w:tcPr>
            <w:tcW w:w="78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15C35" w:rsidRDefault="00EC0FF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фактический дифференцированный подушевой норматив финансирования амбулаторной медицинской помощи для i-той медицинской организации, рублей.</w:t>
            </w:r>
          </w:p>
        </w:tc>
      </w:tr>
      <w:tr w:rsidR="00C15C35">
        <w:tc>
          <w:tcPr>
            <w:tcW w:w="12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lastRenderedPageBreak/>
              <mc:AlternateContent>
                <mc:Choice Requires="wpg">
                  <w:drawing>
                    <wp:inline distT="0" distB="0" distL="0" distR="0">
                      <wp:extent cx="238125" cy="285750"/>
                      <wp:effectExtent l="0" t="0" r="9525" b="0"/>
                      <wp:docPr id="3" name="Рисунок 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6">
                                <a:extLst>
                                  <a:ext uri="{96DAC541-7B7A-43D3-8B79-37D633B846F1}">
                                    <asvg:svgBlip xmlns:asvg="http://schemas.microsoft.com/office/drawing/2016/SVG/main" xmlns:w="http://schemas.openxmlformats.org/wordprocessingml/2006/main" xmlns:w10="urn:schemas-microsoft-com:office:word" xmlns:v="urn:schemas-microsoft-com:vml" xmlns:o="urn:schemas-microsoft-com:office:office" xmlns="" r:embed="rId17"/>
                                  </a:ext>
                                </a:extLst>
                              </a:blip>
                              <a:stretch/>
                            </pic:blipFill>
                            <pic:spPr bwMode="auto">
                              <a:xfrm>
                                <a:off x="0" y="0"/>
                                <a:ext cx="238125" cy="2857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width:18.75pt;height:22.50pt;mso-wrap-distance-left:0.00pt;mso-wrap-distance-top:0.00pt;mso-wrap-distance-right:0.00pt;mso-wrap-distance-bottom:0.00pt;" stroked="f">
                      <v:path textboxrect="0,0,0,0"/>
                      <v:imagedata r:id="rId18" o:title=""/>
                    </v:shape>
                  </w:pict>
                </mc:Fallback>
              </mc:AlternateContent>
            </w:r>
          </w:p>
        </w:tc>
        <w:tc>
          <w:tcPr>
            <w:tcW w:w="78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15C35" w:rsidRDefault="00EC0FF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численность застрахованных лиц, прикрепленных к i-той медицинской организации, человек.</w:t>
            </w:r>
          </w:p>
        </w:tc>
      </w:tr>
    </w:tbl>
    <w:p w:rsidR="00C15C35" w:rsidRDefault="00EC0FF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Мониторинг достижения зн</w:t>
      </w:r>
      <w:r>
        <w:rPr>
          <w:rFonts w:ascii="Times New Roman" w:hAnsi="Times New Roman" w:cs="Times New Roman"/>
          <w:sz w:val="28"/>
          <w:szCs w:val="28"/>
        </w:rPr>
        <w:t xml:space="preserve">ачений показателей результативности деятельности по каждой медицинской организации, финансируемой по подушевому нормативу финансирования на прикрепившихся лиц, и ранжирование медицинских организаций Ставропольского края, проводится Комиссией по разработке </w:t>
      </w:r>
      <w:r>
        <w:rPr>
          <w:rFonts w:ascii="Times New Roman" w:hAnsi="Times New Roman" w:cs="Times New Roman"/>
          <w:sz w:val="28"/>
          <w:szCs w:val="28"/>
        </w:rPr>
        <w:t>территориальной программы обязательного медицинского страхования в Ставропольском крае (далее - Комиссией) ежеквартально, начиная с 1 квартала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2026 </w:t>
      </w:r>
      <w:r>
        <w:rPr>
          <w:rFonts w:ascii="Times New Roman" w:hAnsi="Times New Roman" w:cs="Times New Roman"/>
          <w:sz w:val="28"/>
          <w:szCs w:val="28"/>
        </w:rPr>
        <w:t>года.</w:t>
      </w:r>
    </w:p>
    <w:p w:rsidR="00C15C35" w:rsidRDefault="00EC0FF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Осуществление выплат по результатам оценки достижения медицинскими организациями, оказывающими медицин</w:t>
      </w:r>
      <w:r>
        <w:rPr>
          <w:rFonts w:ascii="Times New Roman" w:hAnsi="Times New Roman" w:cs="Times New Roman"/>
          <w:sz w:val="28"/>
          <w:szCs w:val="28"/>
        </w:rPr>
        <w:t>скую помощь в амбулаторных условиях, значений показателей результативности деятельности производится по итогам года.</w:t>
      </w:r>
    </w:p>
    <w:p w:rsidR="00C15C35" w:rsidRDefault="00EC0FF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Выплаты по итогам года распределяются на основе сведений об оказанной медицинской помощи за период декабрь предыдущего года - ноябрь текуще</w:t>
      </w:r>
      <w:r>
        <w:rPr>
          <w:rFonts w:ascii="Times New Roman" w:hAnsi="Times New Roman" w:cs="Times New Roman"/>
          <w:sz w:val="28"/>
          <w:szCs w:val="28"/>
        </w:rPr>
        <w:t>го года (включительно) и выплачиваются в декабре при окончательном расчете за ноябрь.</w:t>
      </w:r>
    </w:p>
    <w:p w:rsidR="00C15C35" w:rsidRDefault="00EC0FF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Коллективными договорами, соглашениями, локальными нормативными актами, заключаемыми в соответствии с трудовым законодательством и иными нормативными правовыми актами, со</w:t>
      </w:r>
      <w:r>
        <w:rPr>
          <w:rFonts w:ascii="Times New Roman" w:hAnsi="Times New Roman" w:cs="Times New Roman"/>
          <w:sz w:val="28"/>
          <w:szCs w:val="28"/>
        </w:rPr>
        <w:t>держащими нормы трудового права и регулирующими системы оплаты труда в медицинских организациях, в том числе системы доплат и надбавок стимулирующего характера и системы премирования, необходимо предусмотреть стимулирующие выплаты медицинским работникам за</w:t>
      </w:r>
      <w:r>
        <w:rPr>
          <w:rFonts w:ascii="Times New Roman" w:hAnsi="Times New Roman" w:cs="Times New Roman"/>
          <w:sz w:val="28"/>
          <w:szCs w:val="28"/>
        </w:rPr>
        <w:t xml:space="preserve"> достижение аналогичных показателей.</w:t>
      </w:r>
    </w:p>
    <w:p w:rsidR="00C15C35" w:rsidRDefault="00EC0FF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Перечень </w:t>
      </w:r>
      <w:r>
        <w:rPr>
          <w:rFonts w:ascii="Times New Roman" w:hAnsi="Times New Roman" w:cs="Times New Roman"/>
          <w:sz w:val="28"/>
          <w:szCs w:val="28"/>
        </w:rPr>
        <w:t>показателей результативности деятельности медицинских организаций, финансируемых по подушевому нормативу финансирования на прикрепившихся лиц (далее – показателей результативности деятельности), представлен в т</w:t>
      </w:r>
      <w:r>
        <w:rPr>
          <w:rFonts w:ascii="Times New Roman" w:hAnsi="Times New Roman" w:cs="Times New Roman"/>
          <w:sz w:val="28"/>
          <w:szCs w:val="28"/>
        </w:rPr>
        <w:t>аблице 1 к настоящему приложению.</w:t>
      </w:r>
    </w:p>
    <w:p w:rsidR="00C15C35" w:rsidRDefault="00EC0FF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Показатели результативности деятельности разделены на блоки, отражающие результативность оказания медицинской помощи – профилактические мероприятия и диспансерное наблюдение разным категориям населения (взрослому населению</w:t>
      </w:r>
      <w:r>
        <w:rPr>
          <w:rFonts w:ascii="Times New Roman" w:hAnsi="Times New Roman" w:cs="Times New Roman"/>
          <w:sz w:val="28"/>
          <w:szCs w:val="28"/>
        </w:rPr>
        <w:t>, детскому населению, акушерско-гинекологической помощи), а также оценку качества оказания медицинской помощи прикрепленному населению в амбулаторных условиях.</w:t>
      </w:r>
    </w:p>
    <w:p w:rsidR="00C15C35" w:rsidRDefault="00EC0FF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случае, когда группа показателей результативности одного из блоков неприменима для конкретной </w:t>
      </w:r>
      <w:r>
        <w:rPr>
          <w:rFonts w:ascii="Times New Roman" w:hAnsi="Times New Roman" w:cs="Times New Roman"/>
          <w:sz w:val="28"/>
          <w:szCs w:val="28"/>
        </w:rPr>
        <w:t>медицинской организации и (или) отчетного периода, суммарный максимальный балл и итоговый коэффициент для соответствующей медицинской организации рассчитывается без учета этой группы показателей.</w:t>
      </w:r>
    </w:p>
    <w:p w:rsidR="00C15C35" w:rsidRDefault="00EC0FF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Каждый показатель, включенный в блок оценивается в баллах, к</w:t>
      </w:r>
      <w:r>
        <w:rPr>
          <w:rFonts w:ascii="Times New Roman" w:hAnsi="Times New Roman" w:cs="Times New Roman"/>
          <w:sz w:val="28"/>
          <w:szCs w:val="28"/>
        </w:rPr>
        <w:t>оторые суммируются. Показатели результативности, включенные в блок 4 «Оценка качества оказания медицинской помощи» могут иметь отрицательные значения, при этом баллы вычитаются из количества баллов, набранных медицинской организацией по четвертому блоку по</w:t>
      </w:r>
      <w:r>
        <w:rPr>
          <w:rFonts w:ascii="Times New Roman" w:hAnsi="Times New Roman" w:cs="Times New Roman"/>
          <w:sz w:val="28"/>
          <w:szCs w:val="28"/>
        </w:rPr>
        <w:t xml:space="preserve">казателей. При достижении отрицательного количества баллов по четвертому блоку при подсчете общей суммы баллов по медицинской организации принять значение баллов по четвертому блоку равным нулю. Максимально </w:t>
      </w:r>
      <w:r>
        <w:rPr>
          <w:rFonts w:ascii="Times New Roman" w:hAnsi="Times New Roman" w:cs="Times New Roman"/>
          <w:sz w:val="28"/>
          <w:szCs w:val="28"/>
        </w:rPr>
        <w:lastRenderedPageBreak/>
        <w:t>возможная сумма баллов по каждому блоку составляе</w:t>
      </w:r>
      <w:r>
        <w:rPr>
          <w:rFonts w:ascii="Times New Roman" w:hAnsi="Times New Roman" w:cs="Times New Roman"/>
          <w:sz w:val="28"/>
          <w:szCs w:val="28"/>
        </w:rPr>
        <w:t>т:</w:t>
      </w:r>
    </w:p>
    <w:p w:rsidR="00C15C35" w:rsidRDefault="00EC0FF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ab/>
        <w:t>35 баллов для показателей блока 1 (взрослое население);</w:t>
      </w:r>
    </w:p>
    <w:p w:rsidR="00C15C35" w:rsidRDefault="00EC0FF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ab/>
        <w:t>35 баллов для показателей блока 2 (детское население);</w:t>
      </w:r>
    </w:p>
    <w:p w:rsidR="00C15C35" w:rsidRDefault="00EC0FF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ab/>
        <w:t>35 баллов для показателей блока 3 (женское население);</w:t>
      </w:r>
    </w:p>
    <w:p w:rsidR="00C15C35" w:rsidRDefault="00EC0FF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35 баллов для показателей блока 4 (оценка качества оказания медицинской помощи).</w:t>
      </w:r>
    </w:p>
    <w:p w:rsidR="00C15C35" w:rsidRDefault="00EC0FF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зависимости от результатов деятельности медицинской организации по каждому показателю определяется соответствующий балл.</w:t>
      </w:r>
    </w:p>
    <w:p w:rsidR="00C15C35" w:rsidRDefault="00EC0FF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учетом фактического выполнения показателей медицин</w:t>
      </w:r>
      <w:r>
        <w:rPr>
          <w:rFonts w:ascii="Times New Roman" w:hAnsi="Times New Roman" w:cs="Times New Roman"/>
          <w:sz w:val="28"/>
          <w:szCs w:val="28"/>
        </w:rPr>
        <w:t>ские организации распределяются на три группы: I – выполнившие до 40 процентов показателей, II – от 40 (включительно) до 60 процентов показателей, III – от 60 (включительно) процентов показателей. Показатель считается выполненным только при положительном к</w:t>
      </w:r>
      <w:r>
        <w:rPr>
          <w:rFonts w:ascii="Times New Roman" w:hAnsi="Times New Roman" w:cs="Times New Roman"/>
          <w:sz w:val="28"/>
          <w:szCs w:val="28"/>
        </w:rPr>
        <w:t>оличестве баллов.</w:t>
      </w:r>
    </w:p>
    <w:p w:rsidR="00C15C35" w:rsidRDefault="00EC0FFE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hyperlink w:anchor="Par322" w:tooltip="Порядок" w:history="1">
        <w:r>
          <w:rPr>
            <w:rFonts w:ascii="Times New Roman" w:hAnsi="Times New Roman" w:cs="Times New Roman"/>
            <w:sz w:val="28"/>
            <w:szCs w:val="28"/>
          </w:rPr>
          <w:t>Порядок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расчета значений показателей результативности деятельности медицинских организаций представлен в таблице 2 к настоящему приложению.</w:t>
      </w:r>
    </w:p>
    <w:p w:rsidR="00C15C35" w:rsidRDefault="00EC0FFE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случае, если медицинская организация удовлетворяет нескол</w:t>
      </w:r>
      <w:r>
        <w:rPr>
          <w:rFonts w:ascii="Times New Roman" w:hAnsi="Times New Roman" w:cs="Times New Roman"/>
          <w:sz w:val="28"/>
          <w:szCs w:val="28"/>
        </w:rPr>
        <w:t>ьким критериям для начисления баллов, ей присваивается максимальный из возможных для начисления балл. В случае, если значение, указанное в знаменателе соответствующих формул, приведенных в таблице 2, равняется нулю, баллы по показателю не начисляются.</w:t>
      </w:r>
    </w:p>
    <w:p w:rsidR="00C15C35" w:rsidRDefault="00EC0FFE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Оцен</w:t>
      </w:r>
      <w:r>
        <w:rPr>
          <w:rFonts w:ascii="Times New Roman" w:hAnsi="Times New Roman" w:cs="Times New Roman"/>
          <w:sz w:val="28"/>
          <w:szCs w:val="28"/>
        </w:rPr>
        <w:t>ка достижения значений показателей результативности деятельности медицинских организаций оформляется решением Комиссии, которое доводится до сведения медицинских организаций.</w:t>
      </w:r>
    </w:p>
    <w:p w:rsidR="00C15C35" w:rsidRDefault="00EC0FFE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Размер стимулирующих выплат по каждой медицинской организации, достигшей целевых </w:t>
      </w:r>
      <w:r>
        <w:rPr>
          <w:rFonts w:ascii="Times New Roman" w:hAnsi="Times New Roman" w:cs="Times New Roman"/>
          <w:sz w:val="28"/>
          <w:szCs w:val="28"/>
        </w:rPr>
        <w:t>значений показателей результативности деятельности, определяется в соответствии с Методическими рекомендациями и утверждается решением Комиссии.</w:t>
      </w:r>
    </w:p>
    <w:p w:rsidR="00C15C35" w:rsidRDefault="00EC0FFE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Размер стимулирующих выплат, направляемых в медицинские организации по итогам оценки достижения показателей рез</w:t>
      </w:r>
      <w:r>
        <w:rPr>
          <w:rFonts w:ascii="Times New Roman" w:hAnsi="Times New Roman" w:cs="Times New Roman"/>
          <w:sz w:val="28"/>
          <w:szCs w:val="28"/>
        </w:rPr>
        <w:t>ультативности деятельности, складывается из двух частей:</w:t>
      </w:r>
    </w:p>
    <w:p w:rsidR="00C15C35" w:rsidRDefault="00EC0FFE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 часть – распределение 70% от объема средств с учетом показателей результативности за соответствующий период (указанные средства распределяются среди медицинских организаций II и III групп с учетом </w:t>
      </w:r>
      <w:r>
        <w:rPr>
          <w:rFonts w:ascii="Times New Roman" w:hAnsi="Times New Roman" w:cs="Times New Roman"/>
          <w:sz w:val="28"/>
          <w:szCs w:val="28"/>
        </w:rPr>
        <w:t>численности прикрепленного населения);</w:t>
      </w:r>
    </w:p>
    <w:p w:rsidR="00C15C35" w:rsidRDefault="00EC0FFE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 часть – распределение 30% от объема средств с учетом показателей результативности за соответствующий период (указанные средства распределяются среди медицинских организаций III группы с учетом абсолютного количества</w:t>
      </w:r>
      <w:r>
        <w:rPr>
          <w:rFonts w:ascii="Times New Roman" w:hAnsi="Times New Roman" w:cs="Times New Roman"/>
          <w:sz w:val="28"/>
          <w:szCs w:val="28"/>
        </w:rPr>
        <w:t xml:space="preserve"> набранных соответствующими медицинскими организациями баллов).</w:t>
      </w:r>
    </w:p>
    <w:p w:rsidR="00C15C35" w:rsidRDefault="00EC0FFE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Если по итогам года отсутствуют медицинские организации, включенные в III группу, средства, предназначенные для осуществления стимулирующих выплат медицинским организациям III группы, распреде</w:t>
      </w:r>
      <w:r>
        <w:rPr>
          <w:rFonts w:ascii="Times New Roman" w:hAnsi="Times New Roman" w:cs="Times New Roman"/>
          <w:sz w:val="28"/>
          <w:szCs w:val="28"/>
        </w:rPr>
        <w:t>ляются между медицинскими организациями II группы в соответствии с установленной методикой (с учетом численности прикрепленного населения).</w:t>
      </w:r>
    </w:p>
    <w:p w:rsidR="00C15C35" w:rsidRDefault="00EC0FFE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 качестве численности прикрепленного населения к конкретной медицинской организации используется среднемесячная чис</w:t>
      </w:r>
      <w:r>
        <w:rPr>
          <w:rFonts w:ascii="Times New Roman" w:hAnsi="Times New Roman" w:cs="Times New Roman"/>
          <w:sz w:val="28"/>
          <w:szCs w:val="28"/>
        </w:rPr>
        <w:t>ленность за период.</w:t>
      </w:r>
    </w:p>
    <w:p w:rsidR="00C15C35" w:rsidRDefault="00EC0FFE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Общий объем средств, направляемых на оплату медицинской помощи с учетом показателей результативности деятельности в медицинскую организацию III группы за соответствующий период определяется путем суммирования 1 и 2 частей, а для медицин</w:t>
      </w:r>
      <w:r>
        <w:rPr>
          <w:rFonts w:ascii="Times New Roman" w:hAnsi="Times New Roman" w:cs="Times New Roman"/>
          <w:sz w:val="28"/>
          <w:szCs w:val="28"/>
        </w:rPr>
        <w:t>ских организаций I группы за соответствующий период – равняется нулю.</w:t>
      </w:r>
    </w:p>
    <w:p w:rsidR="00C15C35" w:rsidRDefault="00EC0FFE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Осуществление выплат стимулирующего характера медицинской организации, оказывающей медицинскую помощь в амбулаторных условиях, по результатам оценки ее деятельности, производится в полно</w:t>
      </w:r>
      <w:r>
        <w:rPr>
          <w:rFonts w:ascii="Times New Roman" w:hAnsi="Times New Roman" w:cs="Times New Roman"/>
          <w:sz w:val="28"/>
          <w:szCs w:val="28"/>
        </w:rPr>
        <w:t>м объеме при условии снижения показателей смертности прикрепленного к ней населения в возрасте от 30 до 69 лет (за исключением смертности от внешних причин) и (или) смертности детей в возрасте от 0 – 17 лет (за исключением смертности от внешних причин) (да</w:t>
      </w:r>
      <w:r>
        <w:rPr>
          <w:rFonts w:ascii="Times New Roman" w:hAnsi="Times New Roman" w:cs="Times New Roman"/>
          <w:sz w:val="28"/>
          <w:szCs w:val="28"/>
        </w:rPr>
        <w:t>лее – показатели смертности прикрепленного населения (взрослого и детского), а также фактического выполнения не менее 90 процентов, установленных решением Комиссии объемов предоставления медицинской помощи с профилактической и иными целями, а также по пово</w:t>
      </w:r>
      <w:r>
        <w:rPr>
          <w:rFonts w:ascii="Times New Roman" w:hAnsi="Times New Roman" w:cs="Times New Roman"/>
          <w:sz w:val="28"/>
          <w:szCs w:val="28"/>
        </w:rPr>
        <w:t>ду заболеваний (посещений и обращений соответственно).</w:t>
      </w:r>
    </w:p>
    <w:p w:rsidR="00C15C35" w:rsidRDefault="00EC0FFE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случае, если не достигнуто снижение вышеуказанных показателей смертности прикрепленного населения (взрослого и детского) и (или) выполнения медицинской организацией менее 90 процентов указанного объе</w:t>
      </w:r>
      <w:r>
        <w:rPr>
          <w:rFonts w:ascii="Times New Roman" w:hAnsi="Times New Roman" w:cs="Times New Roman"/>
          <w:sz w:val="28"/>
          <w:szCs w:val="28"/>
        </w:rPr>
        <w:t>ма медицинской помощи, Комиссия устанавливает понижающие коэффициенты к размеру стимулирующих выплат.</w:t>
      </w:r>
    </w:p>
    <w:p w:rsidR="00C15C35" w:rsidRDefault="00C15C35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C15C35" w:rsidRDefault="00C15C35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C15C35" w:rsidRDefault="00C15C35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C15C35" w:rsidRDefault="00C15C35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C15C35" w:rsidRDefault="00EC0FF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1</w:t>
      </w:r>
    </w:p>
    <w:p w:rsidR="00C15C35" w:rsidRDefault="00C15C3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15C35" w:rsidRDefault="00EC0FFE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ar57"/>
      <w:bookmarkEnd w:id="0"/>
      <w:r>
        <w:rPr>
          <w:rFonts w:ascii="Times New Roman" w:hAnsi="Times New Roman" w:cs="Times New Roman"/>
          <w:sz w:val="28"/>
          <w:szCs w:val="28"/>
        </w:rPr>
        <w:t>Перечень</w:t>
      </w:r>
    </w:p>
    <w:p w:rsidR="00C15C35" w:rsidRDefault="00EC0FFE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показателей результативности деятельности медицинский</w:t>
      </w:r>
    </w:p>
    <w:p w:rsidR="00C15C35" w:rsidRDefault="00EC0FFE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организаций, финансируемых по подушевому нормативу</w:t>
      </w:r>
    </w:p>
    <w:p w:rsidR="00C15C35" w:rsidRDefault="00EC0FFE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финансирования на прикрепившихся лиц, при выполнении</w:t>
      </w:r>
    </w:p>
    <w:p w:rsidR="00C15C35" w:rsidRDefault="00EC0FFE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территориальной программы обязательного медицинского</w:t>
      </w:r>
    </w:p>
    <w:p w:rsidR="00C15C35" w:rsidRDefault="00EC0FFE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страхования в части первичной (первичной специализированной)</w:t>
      </w:r>
    </w:p>
    <w:p w:rsidR="00C15C35" w:rsidRDefault="00EC0FFE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медико-санитарной помощи</w:t>
      </w:r>
    </w:p>
    <w:p w:rsidR="00C15C35" w:rsidRDefault="00C15C3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-36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8"/>
        <w:gridCol w:w="567"/>
        <w:gridCol w:w="2977"/>
        <w:gridCol w:w="1701"/>
        <w:gridCol w:w="3969"/>
        <w:gridCol w:w="850"/>
      </w:tblGrid>
      <w:tr w:rsidR="00C15C35"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№ стр.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№ показателя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Наименование показателя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Предположительный </w:t>
            </w:r>
            <w:r>
              <w:rPr>
                <w:rFonts w:ascii="Times New Roman" w:hAnsi="Times New Roman" w:cs="Times New Roman"/>
                <w:color w:val="000000"/>
              </w:rPr>
              <w:t>результат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5C35" w:rsidRDefault="00EC0FFE">
            <w:pPr>
              <w:pStyle w:val="ConsPlusNormal"/>
              <w:jc w:val="center"/>
              <w:rPr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Индикаторы выполнения показателя </w:t>
            </w:r>
            <w:r>
              <w:rPr>
                <w:rFonts w:ascii="Times New Roman" w:hAnsi="Times New Roman" w:cs="Times New Roman"/>
                <w:color w:val="000000"/>
                <w:vertAlign w:val="superscript"/>
              </w:rPr>
              <w:footnoteReference w:id="1"/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5C35" w:rsidRDefault="00EC0FFE">
            <w:pPr>
              <w:pStyle w:val="ConsPlusNormal"/>
              <w:jc w:val="center"/>
              <w:rPr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Макс. балл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vertAlign w:val="superscript"/>
              </w:rPr>
              <w:t>2</w:t>
            </w:r>
          </w:p>
        </w:tc>
      </w:tr>
      <w:tr w:rsidR="00C15C35"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C15C35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C15C35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</w:t>
            </w:r>
          </w:p>
        </w:tc>
      </w:tr>
      <w:tr w:rsidR="00C15C35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C15C35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Взрослое население (в возрасте 18 лет и старше)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35</w:t>
            </w:r>
          </w:p>
        </w:tc>
      </w:tr>
      <w:tr w:rsidR="00C15C35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C15C35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4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Оценка эффективности профилактических мероприятий</w:t>
            </w:r>
          </w:p>
        </w:tc>
      </w:tr>
      <w:tr w:rsidR="00C15C35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3.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C15C35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Доля лиц в возрасте от 18 до 39 лет, не прошедших в течение последних двух лет профилактический медицинский осмотр или диспансеризацию, от общего числа прикрепленного населения этой возрастной группы.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Уменьшение показателя за период по отношению к показате</w:t>
            </w:r>
            <w:r>
              <w:rPr>
                <w:rFonts w:ascii="Times New Roman" w:hAnsi="Times New Roman" w:cs="Times New Roman"/>
                <w:color w:val="000000"/>
              </w:rPr>
              <w:t>лю за предыдущий период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C15C35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Для медицинских организаций, значение показателя которых выше среднего значения по Ставропольскому краю</w:t>
            </w:r>
            <w:r>
              <w:rPr>
                <w:rFonts w:ascii="Times New Roman" w:hAnsi="Times New Roman" w:cs="Times New Roman"/>
                <w:color w:val="000000"/>
                <w:vertAlign w:val="superscript"/>
              </w:rPr>
              <w:t>4</w:t>
            </w:r>
            <w:r>
              <w:rPr>
                <w:rFonts w:ascii="Times New Roman" w:hAnsi="Times New Roman" w:cs="Times New Roman"/>
                <w:color w:val="000000"/>
              </w:rPr>
              <w:t xml:space="preserve">: </w:t>
            </w:r>
          </w:p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Уменьшение ≥ 3% - 3 балла;</w:t>
            </w:r>
          </w:p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Уменьшение ≥ 2% - 2 балла;</w:t>
            </w:r>
          </w:p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Уменьшение &lt; 2% - 1 балл.</w:t>
            </w:r>
          </w:p>
          <w:p w:rsidR="00C15C35" w:rsidRDefault="00C15C35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Для медицинских организаций, значение показателя которых равно или ниже среднего значения по Ставропольскому краю</w:t>
            </w:r>
            <w:r>
              <w:rPr>
                <w:rFonts w:ascii="Times New Roman" w:hAnsi="Times New Roman" w:cs="Times New Roman"/>
                <w:color w:val="000000"/>
                <w:vertAlign w:val="superscript"/>
              </w:rPr>
              <w:t>4</w:t>
            </w:r>
            <w:r>
              <w:rPr>
                <w:rFonts w:ascii="Times New Roman" w:hAnsi="Times New Roman" w:cs="Times New Roman"/>
                <w:color w:val="000000"/>
              </w:rPr>
              <w:t>:</w:t>
            </w:r>
          </w:p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При условии снижения по сравнению с предыдущим периодом или достижения минимально возможного значения показателя - 3 балла;</w:t>
            </w:r>
          </w:p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В иных случаях -</w:t>
            </w:r>
            <w:r>
              <w:rPr>
                <w:rFonts w:ascii="Times New Roman" w:hAnsi="Times New Roman" w:cs="Times New Roman"/>
                <w:color w:val="000000"/>
              </w:rPr>
              <w:t xml:space="preserve"> 2 балла.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</w:t>
            </w:r>
          </w:p>
        </w:tc>
      </w:tr>
      <w:tr w:rsidR="00C15C35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Доля лиц в возрасте от 40 до 65 лет, не прошедших в течение последних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двух лет профилактический медицинский осмотр или диспансеризацию, от общего числа прикрепленного населения этой возрастной группы.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Уменьшение показателя за период по о</w:t>
            </w:r>
            <w:r>
              <w:rPr>
                <w:rFonts w:ascii="Times New Roman" w:hAnsi="Times New Roman" w:cs="Times New Roman"/>
                <w:color w:val="000000"/>
              </w:rPr>
              <w:t>тношению к показателю за предыдущий период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Для медицинских организаций, значение показателя которых выше среднего значения Ставропольскому краю</w:t>
            </w:r>
            <w:r>
              <w:rPr>
                <w:rFonts w:ascii="Times New Roman" w:hAnsi="Times New Roman" w:cs="Times New Roman"/>
                <w:color w:val="000000"/>
                <w:vertAlign w:val="superscript"/>
              </w:rPr>
              <w:t>4</w:t>
            </w:r>
            <w:r>
              <w:rPr>
                <w:rFonts w:ascii="Times New Roman" w:hAnsi="Times New Roman" w:cs="Times New Roman"/>
                <w:color w:val="000000"/>
              </w:rPr>
              <w:t xml:space="preserve">: </w:t>
            </w:r>
          </w:p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Уменьшение ≥ 3% - 3 балла;</w:t>
            </w:r>
          </w:p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Уменьшение ≥ 2% - 2 балла;</w:t>
            </w:r>
          </w:p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Уменьшение &lt; 2% - 1 балл.</w:t>
            </w:r>
          </w:p>
          <w:p w:rsidR="00C15C35" w:rsidRDefault="00C15C35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Для медицинских организаций, значение показателя которых равно или ниже среднего значения по Ставропольскому краю</w:t>
            </w:r>
            <w:r>
              <w:rPr>
                <w:rFonts w:ascii="Times New Roman" w:hAnsi="Times New Roman" w:cs="Times New Roman"/>
                <w:color w:val="000000"/>
                <w:vertAlign w:val="superscript"/>
              </w:rPr>
              <w:t>4</w:t>
            </w:r>
            <w:r>
              <w:rPr>
                <w:rFonts w:ascii="Times New Roman" w:hAnsi="Times New Roman" w:cs="Times New Roman"/>
                <w:color w:val="000000"/>
              </w:rPr>
              <w:t>:</w:t>
            </w:r>
          </w:p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При условии снижения по сравнению с предыдущим периодом или достижения минимально возможного значения показателя - 3 балла;</w:t>
            </w:r>
          </w:p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В иных случаях -</w:t>
            </w:r>
            <w:r>
              <w:rPr>
                <w:rFonts w:ascii="Times New Roman" w:hAnsi="Times New Roman" w:cs="Times New Roman"/>
                <w:color w:val="000000"/>
              </w:rPr>
              <w:t xml:space="preserve"> 2 балла.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</w:t>
            </w:r>
          </w:p>
        </w:tc>
      </w:tr>
      <w:tr w:rsidR="00C15C35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Доля взрослых с болезнями системы кровообращения, выявленными впервые при профилактических медицинских осмотрах и диспансеризации за период, от общего числа взрослых пациентов с болезнями системы кровообращения с впервые в жизни установл</w:t>
            </w:r>
            <w:r>
              <w:rPr>
                <w:rFonts w:ascii="Times New Roman" w:hAnsi="Times New Roman" w:cs="Times New Roman"/>
                <w:color w:val="000000"/>
              </w:rPr>
              <w:t xml:space="preserve">енным </w:t>
            </w:r>
            <w:r>
              <w:rPr>
                <w:rFonts w:ascii="Times New Roman" w:hAnsi="Times New Roman" w:cs="Times New Roman"/>
                <w:color w:val="000000"/>
              </w:rPr>
              <w:lastRenderedPageBreak/>
              <w:t>диагнозом за период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3</w:t>
            </w:r>
            <w:r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C15C35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Прирост показателя за период по отношению к показателю за предыдущий период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Для медицинских организаций, значение показателя которых ниже среднего по Ставропольскому краю</w:t>
            </w:r>
            <w:r>
              <w:rPr>
                <w:rFonts w:ascii="Times New Roman" w:hAnsi="Times New Roman" w:cs="Times New Roman"/>
                <w:color w:val="000000"/>
                <w:vertAlign w:val="superscript"/>
              </w:rPr>
              <w:t>4</w:t>
            </w:r>
            <w:r>
              <w:rPr>
                <w:rFonts w:ascii="Times New Roman" w:hAnsi="Times New Roman" w:cs="Times New Roman"/>
                <w:color w:val="000000"/>
              </w:rPr>
              <w:t>:</w:t>
            </w:r>
          </w:p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Прирост ≥ 10% - 2 балла.</w:t>
            </w:r>
          </w:p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Прирост ≥ 5% - 1 балл;</w:t>
            </w:r>
          </w:p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Прирос</w:t>
            </w:r>
            <w:r>
              <w:rPr>
                <w:rFonts w:ascii="Times New Roman" w:hAnsi="Times New Roman" w:cs="Times New Roman"/>
                <w:color w:val="000000"/>
              </w:rPr>
              <w:t>т &lt; 5% - 0 баллов.</w:t>
            </w:r>
          </w:p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Для медицинских организаций, значение показателя которых равно или выше среднего по Ставропольскому краю</w:t>
            </w:r>
            <w:r>
              <w:rPr>
                <w:rFonts w:ascii="Times New Roman" w:hAnsi="Times New Roman" w:cs="Times New Roman"/>
                <w:color w:val="000000"/>
                <w:vertAlign w:val="superscript"/>
              </w:rPr>
              <w:t>4</w:t>
            </w:r>
            <w:r>
              <w:rPr>
                <w:rFonts w:ascii="Times New Roman" w:hAnsi="Times New Roman" w:cs="Times New Roman"/>
                <w:color w:val="000000"/>
              </w:rPr>
              <w:t>:</w:t>
            </w:r>
          </w:p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При условии прироста по сравнению </w:t>
            </w:r>
            <w:r>
              <w:rPr>
                <w:rFonts w:ascii="Times New Roman" w:hAnsi="Times New Roman" w:cs="Times New Roman"/>
                <w:color w:val="000000"/>
              </w:rPr>
              <w:lastRenderedPageBreak/>
              <w:t>с предыдущим периодом или достижения максимально возможного значения показателя - 2 балла;</w:t>
            </w:r>
          </w:p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В иных случаях – 1 балл.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2</w:t>
            </w:r>
          </w:p>
        </w:tc>
      </w:tr>
      <w:tr w:rsidR="00C15C35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Доля взрослых с подозрением на злокачественное новообразование, выявл</w:t>
            </w:r>
            <w:r>
              <w:rPr>
                <w:rFonts w:ascii="Times New Roman" w:hAnsi="Times New Roman" w:cs="Times New Roman"/>
                <w:color w:val="000000"/>
              </w:rPr>
              <w:t>енным впервые при профилактических медицинских осмотрах или диспансеризации за период, от общего числа взрослых пациентов с подозрением на злокачественное новообразование или впервые в жизни установленным диагнозом злокачественное новообразование за период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Прирост показателя за период по отношению к показателю за предыдущий период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Для медицинских организаций, значение показателя которых ниже среднего по Ставропольскому краю</w:t>
            </w:r>
            <w:r>
              <w:rPr>
                <w:rFonts w:ascii="Times New Roman" w:hAnsi="Times New Roman" w:cs="Times New Roman"/>
                <w:color w:val="000000"/>
                <w:vertAlign w:val="superscript"/>
              </w:rPr>
              <w:t>4</w:t>
            </w:r>
            <w:r>
              <w:rPr>
                <w:rFonts w:ascii="Times New Roman" w:hAnsi="Times New Roman" w:cs="Times New Roman"/>
                <w:color w:val="000000"/>
              </w:rPr>
              <w:t>:</w:t>
            </w:r>
          </w:p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Прирост ≥ 5% - 2 балла;</w:t>
            </w:r>
          </w:p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Прирост ≥ 3% - 1 балл;</w:t>
            </w:r>
          </w:p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Прирост &lt; 3% - 0 баллов.</w:t>
            </w:r>
          </w:p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Для меди</w:t>
            </w:r>
            <w:r>
              <w:rPr>
                <w:rFonts w:ascii="Times New Roman" w:hAnsi="Times New Roman" w:cs="Times New Roman"/>
                <w:color w:val="000000"/>
              </w:rPr>
              <w:t>цинских организаций, значение показателя которых равно или выше среднего по Ставропольскому краю</w:t>
            </w:r>
            <w:r>
              <w:rPr>
                <w:rFonts w:ascii="Times New Roman" w:hAnsi="Times New Roman" w:cs="Times New Roman"/>
                <w:color w:val="000000"/>
                <w:vertAlign w:val="superscript"/>
              </w:rPr>
              <w:t>4</w:t>
            </w:r>
            <w:r>
              <w:rPr>
                <w:rFonts w:ascii="Times New Roman" w:hAnsi="Times New Roman" w:cs="Times New Roman"/>
                <w:color w:val="000000"/>
              </w:rPr>
              <w:t>:</w:t>
            </w:r>
          </w:p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При условии прироста по сравнению с предыдущим периодом или достижения максимально возможного значения показателя - 2 балла;</w:t>
            </w:r>
          </w:p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В иных случаях – 1 балл.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</w:tr>
      <w:tr w:rsidR="00C15C35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Доля взрослых с установленным диагнозом хроническая обструктивная болезнь легких, выявленным впервые при профилактических медицинских осмотрах и диспансеризации за период, от общего числа взрослых пациентов с впервые в жизни установленным диагнозом хрон</w:t>
            </w:r>
            <w:r>
              <w:rPr>
                <w:rFonts w:ascii="Times New Roman" w:hAnsi="Times New Roman" w:cs="Times New Roman"/>
                <w:color w:val="000000"/>
              </w:rPr>
              <w:t>ическая обструктивная легочная болезнь за период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3</w:t>
            </w:r>
            <w:r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Прирост показателя за период по отношению к показателю за предыдущий период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Для медицинских организаций, значение показателя которых ниже среднего по Ставропольскому краю</w:t>
            </w:r>
            <w:r>
              <w:rPr>
                <w:rFonts w:ascii="Times New Roman" w:hAnsi="Times New Roman" w:cs="Times New Roman"/>
                <w:color w:val="000000"/>
                <w:vertAlign w:val="superscript"/>
              </w:rPr>
              <w:t>4</w:t>
            </w:r>
            <w:r>
              <w:rPr>
                <w:rFonts w:ascii="Times New Roman" w:hAnsi="Times New Roman" w:cs="Times New Roman"/>
                <w:color w:val="000000"/>
              </w:rPr>
              <w:t>:</w:t>
            </w:r>
          </w:p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Прирост ≥ 10% - 2 балла;</w:t>
            </w:r>
          </w:p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Прирост</w:t>
            </w:r>
            <w:r>
              <w:rPr>
                <w:rFonts w:ascii="Times New Roman" w:hAnsi="Times New Roman" w:cs="Times New Roman"/>
                <w:color w:val="000000"/>
              </w:rPr>
              <w:t xml:space="preserve"> ≥ 5% - 1 балл;</w:t>
            </w:r>
          </w:p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Прирост &lt; 5% - 0 баллов.</w:t>
            </w:r>
          </w:p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Для медицинских организаций, значение показателя которых равно или выше среднего по Ставропольскому краю</w:t>
            </w:r>
            <w:r>
              <w:rPr>
                <w:rFonts w:ascii="Times New Roman" w:hAnsi="Times New Roman" w:cs="Times New Roman"/>
                <w:color w:val="000000"/>
                <w:vertAlign w:val="superscript"/>
              </w:rPr>
              <w:t>4</w:t>
            </w:r>
            <w:r>
              <w:rPr>
                <w:rFonts w:ascii="Times New Roman" w:hAnsi="Times New Roman" w:cs="Times New Roman"/>
                <w:color w:val="000000"/>
              </w:rPr>
              <w:t>:</w:t>
            </w:r>
          </w:p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При условии прироста по сравнению с предыдущим периодом или достижения максимально возможного значения показ</w:t>
            </w:r>
            <w:r>
              <w:rPr>
                <w:rFonts w:ascii="Times New Roman" w:hAnsi="Times New Roman" w:cs="Times New Roman"/>
                <w:color w:val="000000"/>
              </w:rPr>
              <w:t>ателя - 2 балла;</w:t>
            </w:r>
          </w:p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В иных случаях – 1 балл.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</w:tr>
      <w:tr w:rsidR="00C15C35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Доля взрослых с установленным диагнозом сахарный диабет, выявленным впервые при профилактических медицинских осмотрах и диспансеризации за период, от общего числа </w:t>
            </w:r>
            <w:r>
              <w:rPr>
                <w:rFonts w:ascii="Times New Roman" w:hAnsi="Times New Roman" w:cs="Times New Roman"/>
                <w:color w:val="000000"/>
              </w:rPr>
              <w:lastRenderedPageBreak/>
              <w:t>взрослых пациентов с впервые в жизни устан</w:t>
            </w:r>
            <w:r>
              <w:rPr>
                <w:rFonts w:ascii="Times New Roman" w:hAnsi="Times New Roman" w:cs="Times New Roman"/>
                <w:color w:val="000000"/>
              </w:rPr>
              <w:t>овленным диагнозом сахарный диабет за период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Прирост показателя за период по отношению к показателю за предыдущий период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vertAlign w:val="superscript"/>
              </w:rPr>
            </w:pPr>
            <w:r>
              <w:rPr>
                <w:rFonts w:ascii="Times New Roman" w:hAnsi="Times New Roman" w:cs="Times New Roman"/>
                <w:color w:val="000000"/>
                <w:vertAlign w:val="superscript"/>
              </w:rPr>
              <w:t>Для медицинских организаций, значение показателя которых ниже среднего по Ставропольскому краю4</w:t>
            </w:r>
          </w:p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Прирост ≥ 10% - 2 балла;</w:t>
            </w:r>
          </w:p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Прирост ≥ 5% - 1 балл;</w:t>
            </w:r>
          </w:p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Прирост &lt; 5% - 0 баллов.</w:t>
            </w:r>
          </w:p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Для медицинских организаций, значение показателя которых равно или выше среднего по </w:t>
            </w:r>
            <w:r>
              <w:rPr>
                <w:rFonts w:ascii="Times New Roman" w:hAnsi="Times New Roman" w:cs="Times New Roman"/>
                <w:color w:val="000000"/>
              </w:rPr>
              <w:lastRenderedPageBreak/>
              <w:t>Ставропольскому краю</w:t>
            </w:r>
            <w:r>
              <w:rPr>
                <w:rFonts w:ascii="Times New Roman" w:hAnsi="Times New Roman" w:cs="Times New Roman"/>
                <w:color w:val="000000"/>
                <w:vertAlign w:val="superscript"/>
              </w:rPr>
              <w:t>4:</w:t>
            </w:r>
          </w:p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При условии прироста по сравнению с предыдущим периодом или достижения максимально возможного значени</w:t>
            </w:r>
            <w:r>
              <w:rPr>
                <w:rFonts w:ascii="Times New Roman" w:hAnsi="Times New Roman" w:cs="Times New Roman"/>
                <w:color w:val="000000"/>
              </w:rPr>
              <w:t>я показателя - 2 балла;</w:t>
            </w:r>
          </w:p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В иных случаях – 1 балл.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2</w:t>
            </w:r>
          </w:p>
        </w:tc>
      </w:tr>
      <w:tr w:rsidR="00C15C35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Доля взрослых с подозрением на злокачественное новообразование органов дыхания, выявленным впервые при профилактическом медицинском осмотре или диспансеризации, от общего числа взрослых пациентов с </w:t>
            </w:r>
            <w:r>
              <w:rPr>
                <w:rFonts w:ascii="Times New Roman" w:hAnsi="Times New Roman" w:cs="Times New Roman"/>
                <w:color w:val="000000"/>
              </w:rPr>
              <w:t>подозрением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на злокачественное новообразование или впервые в жизни установленным диагнозом злокачественное новообразование органов дыхания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Прирост показателя за период по отношению к показателю за предыдущий период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vertAlign w:val="superscript"/>
              </w:rPr>
            </w:pPr>
            <w:r>
              <w:rPr>
                <w:rFonts w:ascii="Times New Roman" w:hAnsi="Times New Roman" w:cs="Times New Roman"/>
                <w:color w:val="000000"/>
                <w:vertAlign w:val="superscript"/>
              </w:rPr>
              <w:t>Для медицинских организаций, значение п</w:t>
            </w:r>
            <w:r>
              <w:rPr>
                <w:rFonts w:ascii="Times New Roman" w:hAnsi="Times New Roman" w:cs="Times New Roman"/>
                <w:color w:val="000000"/>
                <w:vertAlign w:val="superscript"/>
              </w:rPr>
              <w:t>оказателя которых ниже среднего по Ставропольскому краю4</w:t>
            </w:r>
          </w:p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Прирост ≥ 10% - 3 балла;</w:t>
            </w:r>
          </w:p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Прирост ≥ 5% - 2 балл;</w:t>
            </w:r>
          </w:p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Прирост &lt; 5% - 0,5 балла.</w:t>
            </w:r>
          </w:p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Для медицинских организаций, значение показателя которых равно или выше среднего по Ставропольскому краю</w:t>
            </w:r>
            <w:r>
              <w:rPr>
                <w:rFonts w:ascii="Times New Roman" w:hAnsi="Times New Roman" w:cs="Times New Roman"/>
                <w:color w:val="000000"/>
                <w:vertAlign w:val="superscript"/>
              </w:rPr>
              <w:t>4:</w:t>
            </w:r>
          </w:p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При условии прироста по сравнению с предыдущим периодом или достижения максимально возможного значения показателя - 3 балла;</w:t>
            </w:r>
          </w:p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В иных случаях – 2 балла.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</w:t>
            </w:r>
          </w:p>
        </w:tc>
      </w:tr>
      <w:tr w:rsidR="00C15C35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10.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Доля мужчин с подозрением на злокачественное новообразование предстательной железы, выявленным </w:t>
            </w:r>
            <w:r>
              <w:rPr>
                <w:rFonts w:ascii="Times New Roman" w:hAnsi="Times New Roman" w:cs="Times New Roman"/>
                <w:color w:val="000000"/>
              </w:rPr>
              <w:t>впервые при профилактическом медицинском осмотре или диспансеризации, от общего числа мужчин с подозрением на злокачественное новообразование или впервые в жизни установленным злокачественным новообразованием предстательной железы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Прирост показателя за п</w:t>
            </w:r>
            <w:r>
              <w:rPr>
                <w:rFonts w:ascii="Times New Roman" w:hAnsi="Times New Roman" w:cs="Times New Roman"/>
                <w:color w:val="000000"/>
              </w:rPr>
              <w:t xml:space="preserve">ериод по отношению к показателю за предыдущий период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vertAlign w:val="superscript"/>
              </w:rPr>
            </w:pPr>
            <w:r>
              <w:rPr>
                <w:rFonts w:ascii="Times New Roman" w:hAnsi="Times New Roman" w:cs="Times New Roman"/>
                <w:color w:val="000000"/>
                <w:vertAlign w:val="superscript"/>
              </w:rPr>
              <w:t>Для медицинских организаций, значение показателя которых ниже среднего по Ставропольскому краю4</w:t>
            </w:r>
          </w:p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Прирост ≥ 10% - 3 балла;</w:t>
            </w:r>
          </w:p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Прирост ≥ 5% - 2 балл;</w:t>
            </w:r>
          </w:p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Прирост &lt; 5% - 0,5 балла.</w:t>
            </w:r>
          </w:p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Для медицинских организаций, значение показателя которых равно или выше среднего по Ставропольскому краю</w:t>
            </w:r>
            <w:r>
              <w:rPr>
                <w:rFonts w:ascii="Times New Roman" w:hAnsi="Times New Roman" w:cs="Times New Roman"/>
                <w:color w:val="000000"/>
                <w:vertAlign w:val="superscript"/>
              </w:rPr>
              <w:t>4:</w:t>
            </w:r>
          </w:p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При условии прироста по сравнению с предыдущим периодом или достижения максимально возможного значения показателя - 3 балла;</w:t>
            </w:r>
          </w:p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В иных случаях – 2 балла.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</w:t>
            </w:r>
          </w:p>
        </w:tc>
      </w:tr>
      <w:tr w:rsidR="00C15C35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11.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Доля взрослых с болезнями системы кровообращения с высоким риском развития неблагоприятных </w:t>
            </w:r>
            <w:r>
              <w:rPr>
                <w:rFonts w:ascii="Times New Roman" w:hAnsi="Times New Roman" w:cs="Times New Roman"/>
                <w:color w:val="000000"/>
              </w:rPr>
              <w:lastRenderedPageBreak/>
              <w:t>сердечно-сосудистых событий (которые перенесли острое нарушение мозгового кровообращения, инфаркт миокарда, страдающих ишемическо</w:t>
            </w:r>
            <w:r>
              <w:rPr>
                <w:rFonts w:ascii="Times New Roman" w:hAnsi="Times New Roman" w:cs="Times New Roman"/>
                <w:color w:val="000000"/>
              </w:rPr>
              <w:t>й болезнью сердца в сочетании с фибрилляцией предсердий и хронической сердечной недостаточностью, а также которым выполнены аортокоронарное шунтирование, ангиопластика коронарных артерий со стентированием и катетерная абляция по поводу сердечно- сосудистых</w:t>
            </w:r>
            <w:r>
              <w:rPr>
                <w:rFonts w:ascii="Times New Roman" w:hAnsi="Times New Roman" w:cs="Times New Roman"/>
                <w:color w:val="000000"/>
              </w:rPr>
              <w:t xml:space="preserve"> заболеваний), состоящих под диспансерным наблюдением, от общего числа взрослых пациентов с болезнями системы кровообращения с высоким риском развития неблагоприятных сердечно-сосудистых событий (которые перенесли острое нарушение мозгового кровообращения,</w:t>
            </w:r>
            <w:r>
              <w:rPr>
                <w:rFonts w:ascii="Times New Roman" w:hAnsi="Times New Roman" w:cs="Times New Roman"/>
                <w:color w:val="000000"/>
              </w:rPr>
              <w:t xml:space="preserve"> инфаркт миокарда, страдающих ишемической болезнью сердца в сочетании с фибрилляцией предсердий и хронической сердечной недостаточностью, а также которым выполнены аортокоронарное шунтирование, ангиопластика коронарных артерий со стентированием и катетерна</w:t>
            </w:r>
            <w:r>
              <w:rPr>
                <w:rFonts w:ascii="Times New Roman" w:hAnsi="Times New Roman" w:cs="Times New Roman"/>
                <w:color w:val="000000"/>
              </w:rPr>
              <w:t>я абляция по поводу сердечно- сосудистых заболеваний)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Достижение планового показателя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C15C35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100% плана или более - 2 балла;</w:t>
            </w:r>
          </w:p>
          <w:p w:rsidR="00C15C35" w:rsidRDefault="00C15C35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Выше среднего значения - 1 балл</w:t>
            </w:r>
          </w:p>
          <w:p w:rsidR="00C15C35" w:rsidRDefault="00C15C35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Менее 100% от плана, но с приростом показателя по сравнению с предыдущем периодом – 1 балл;</w:t>
            </w:r>
          </w:p>
          <w:p w:rsidR="00C15C35" w:rsidRDefault="00C15C35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Менее 1</w:t>
            </w:r>
            <w:r>
              <w:rPr>
                <w:rFonts w:ascii="Times New Roman" w:hAnsi="Times New Roman" w:cs="Times New Roman"/>
                <w:color w:val="000000"/>
              </w:rPr>
              <w:t>00% от плана, равно или со снижением показателя по сравнению с предыдущем периодом – 0 баллов.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2</w:t>
            </w:r>
          </w:p>
        </w:tc>
      </w:tr>
      <w:tr w:rsidR="00C15C35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12.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10.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Доля лиц 18 лет и старше, состоявших под </w:t>
            </w:r>
            <w:r>
              <w:rPr>
                <w:rFonts w:ascii="Times New Roman" w:hAnsi="Times New Roman" w:cs="Times New Roman"/>
                <w:color w:val="000000"/>
              </w:rPr>
              <w:lastRenderedPageBreak/>
              <w:t>диспансерным наблюдением по поводу болезней системы кровообращения, госпитализированных в связи</w:t>
            </w:r>
            <w:r>
              <w:rPr>
                <w:rFonts w:ascii="Times New Roman" w:hAnsi="Times New Roman" w:cs="Times New Roman"/>
                <w:color w:val="000000"/>
              </w:rPr>
              <w:t xml:space="preserve"> с обострениями или осложнениями болезней системы кровообращения, по поводу которых пациент состоит на диспансерном наблюдении, от всех лиц соответствующего возраста, состоявших на диспансерном наблюдении по поводу болезней системы кровообращения за период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 xml:space="preserve">Уменьшение показателя за </w:t>
            </w:r>
            <w:r>
              <w:rPr>
                <w:rFonts w:ascii="Times New Roman" w:hAnsi="Times New Roman" w:cs="Times New Roman"/>
                <w:color w:val="000000"/>
              </w:rPr>
              <w:lastRenderedPageBreak/>
              <w:t>период по отношению к показателю за предыдущий период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 xml:space="preserve">Для медицинских организаций, значение показателя которых, выше </w:t>
            </w:r>
            <w:r>
              <w:rPr>
                <w:rFonts w:ascii="Times New Roman" w:hAnsi="Times New Roman" w:cs="Times New Roman"/>
                <w:color w:val="000000"/>
              </w:rPr>
              <w:lastRenderedPageBreak/>
              <w:t>среднего значения по  Ставропольскому краю</w:t>
            </w:r>
            <w:r>
              <w:rPr>
                <w:rFonts w:ascii="Times New Roman" w:hAnsi="Times New Roman" w:cs="Times New Roman"/>
                <w:color w:val="000000"/>
                <w:vertAlign w:val="superscript"/>
              </w:rPr>
              <w:t>4:</w:t>
            </w:r>
          </w:p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Уменьшение ≥ 3% - 2 балла;</w:t>
            </w:r>
          </w:p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Уменьшение ≥ 2% - 1 балл;</w:t>
            </w:r>
          </w:p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Уменьшение &lt; </w:t>
            </w:r>
            <w:r>
              <w:rPr>
                <w:rFonts w:ascii="Times New Roman" w:hAnsi="Times New Roman" w:cs="Times New Roman"/>
                <w:color w:val="000000"/>
              </w:rPr>
              <w:t>2% - 0 баллов.</w:t>
            </w:r>
          </w:p>
          <w:p w:rsidR="00C15C35" w:rsidRDefault="00C15C35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vertAlign w:val="superscript"/>
              </w:rPr>
            </w:pPr>
            <w:r>
              <w:rPr>
                <w:rFonts w:ascii="Times New Roman" w:hAnsi="Times New Roman" w:cs="Times New Roman"/>
                <w:color w:val="000000"/>
                <w:vertAlign w:val="superscript"/>
              </w:rPr>
              <w:t>Для медицинских организаций, значение показателя равно или ниже среднего значения по Ставропольскому краю4:</w:t>
            </w:r>
          </w:p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При условии снижения по сравнению с предыдущим периодом или достижения минимально возможного значения показателя - 2 балла;</w:t>
            </w:r>
          </w:p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В иных с</w:t>
            </w:r>
            <w:r>
              <w:rPr>
                <w:rFonts w:ascii="Times New Roman" w:hAnsi="Times New Roman" w:cs="Times New Roman"/>
                <w:color w:val="000000"/>
              </w:rPr>
              <w:t>лучаях - 1 балл.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2</w:t>
            </w:r>
          </w:p>
        </w:tc>
      </w:tr>
      <w:tr w:rsidR="00C15C35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13.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11.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Доля взрослых с болезнями системы кровообращения, в отношении которых установлено диспансерное наблюдение за период, от общего числа взрослых пациентов с впервые в жизни установленным диагнозом болезни системы кровообращения за период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Достижение планового показателя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100% плана или более - 1 балл;</w:t>
            </w:r>
          </w:p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Выше среднего значения - 0,5 балла</w:t>
            </w:r>
          </w:p>
          <w:p w:rsidR="00C15C35" w:rsidRDefault="00C15C35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Менее 100% от плана, но с приростом показателя по сравнению с предыдущем периодом - 0,5 балла;</w:t>
            </w:r>
          </w:p>
          <w:p w:rsidR="00C15C35" w:rsidRDefault="00C15C35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Менее 100% от плана, равно или со снижением показателя по ср</w:t>
            </w:r>
            <w:r>
              <w:rPr>
                <w:rFonts w:ascii="Times New Roman" w:hAnsi="Times New Roman" w:cs="Times New Roman"/>
                <w:color w:val="000000"/>
              </w:rPr>
              <w:t>авнению с предыдущем периодом - 0 баллов.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</w:tr>
      <w:tr w:rsidR="00C15C35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14.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12.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Доля взрослых с установленным диагнозом хроническая обструктивная болезнь легких, в отношении которых установлено диспансерное наблюдение за период, от общего числа взрослых пациентов с впервые в жизни у</w:t>
            </w:r>
            <w:r>
              <w:rPr>
                <w:rFonts w:ascii="Times New Roman" w:hAnsi="Times New Roman" w:cs="Times New Roman"/>
                <w:color w:val="000000"/>
              </w:rPr>
              <w:t>становленным диагнозом хроническая обструктивная болезнь легких за период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Достижение планового показателя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100% плана или более - 1 балл; Выше среднего значения</w:t>
            </w:r>
          </w:p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- 0,5 балла</w:t>
            </w:r>
          </w:p>
          <w:p w:rsidR="00C15C35" w:rsidRDefault="00C15C35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Менее 100% от плана, но с приростом показателя по сравнению с предыдущем периодом</w:t>
            </w:r>
            <w:r>
              <w:rPr>
                <w:rFonts w:ascii="Times New Roman" w:hAnsi="Times New Roman" w:cs="Times New Roman"/>
                <w:color w:val="000000"/>
              </w:rPr>
              <w:t xml:space="preserve"> - 0,5 балла;</w:t>
            </w:r>
          </w:p>
          <w:p w:rsidR="00C15C35" w:rsidRDefault="00C15C35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Менее 100% от плана, равно или со снижением показателя по сравнению с предыдущем периодом - 0 баллов.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</w:tr>
      <w:tr w:rsidR="00C15C35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15.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13.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Доля взрослых с </w:t>
            </w:r>
            <w:r>
              <w:rPr>
                <w:rFonts w:ascii="Times New Roman" w:hAnsi="Times New Roman" w:cs="Times New Roman"/>
                <w:color w:val="000000"/>
              </w:rPr>
              <w:t xml:space="preserve">установленным диагнозом сахарный диабет, в отношении которых установлено диспансерное </w:t>
            </w:r>
            <w:r>
              <w:rPr>
                <w:rFonts w:ascii="Times New Roman" w:hAnsi="Times New Roman" w:cs="Times New Roman"/>
                <w:color w:val="000000"/>
              </w:rPr>
              <w:lastRenderedPageBreak/>
              <w:t>наблюдение за период, от общего числа взрослых пациентов с впервые в жизни установленным диагнозом сахарный диабет за период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3</w:t>
            </w:r>
            <w:r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Достижение планового показателя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100% плана </w:t>
            </w:r>
            <w:r>
              <w:rPr>
                <w:rFonts w:ascii="Times New Roman" w:hAnsi="Times New Roman" w:cs="Times New Roman"/>
                <w:color w:val="000000"/>
              </w:rPr>
              <w:t>или более - 2 балла;</w:t>
            </w:r>
          </w:p>
          <w:p w:rsidR="00C15C35" w:rsidRDefault="00C15C35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Выше среднего значения - 1 балл</w:t>
            </w:r>
          </w:p>
          <w:p w:rsidR="00C15C35" w:rsidRDefault="00C15C35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Менее 100% от плана, но с </w:t>
            </w:r>
            <w:r>
              <w:rPr>
                <w:rFonts w:ascii="Times New Roman" w:hAnsi="Times New Roman" w:cs="Times New Roman"/>
                <w:color w:val="000000"/>
              </w:rPr>
              <w:lastRenderedPageBreak/>
              <w:t>приростом показателя по сравнению с предыдущем периодом - 1 балл;</w:t>
            </w:r>
          </w:p>
          <w:p w:rsidR="00C15C35" w:rsidRDefault="00C15C35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Менее 100% от плана, равно или со снижением показателя по сравнению с предыдущем периодом - 0 баллов.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2</w:t>
            </w:r>
          </w:p>
        </w:tc>
      </w:tr>
      <w:tr w:rsidR="00C15C35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16.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14.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Доля взрослых, госпитализированных за период по экстренным показаниям в связи с обострением (декомпенсацией) состояний, по поводу которых пациент находится под диспансерным наблюдением, от общего числа взрослых пациентов, находящихся под диспансерным </w:t>
            </w:r>
            <w:r>
              <w:rPr>
                <w:rFonts w:ascii="Times New Roman" w:hAnsi="Times New Roman" w:cs="Times New Roman"/>
                <w:color w:val="000000"/>
              </w:rPr>
              <w:t>наблюдением за период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C15C35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Уменьшение показателя за период по отношению к показателю в предыдущем периоде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Для медицинских организаций, значение показателя которых, выше среднего значения по  Ставропольскому краю</w:t>
            </w:r>
            <w:r>
              <w:rPr>
                <w:rFonts w:ascii="Times New Roman" w:hAnsi="Times New Roman" w:cs="Times New Roman"/>
                <w:color w:val="000000"/>
                <w:vertAlign w:val="superscript"/>
              </w:rPr>
              <w:t>4:</w:t>
            </w:r>
          </w:p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Уменьшение &lt; 5</w:t>
            </w:r>
            <w:r>
              <w:rPr>
                <w:rFonts w:ascii="Times New Roman" w:hAnsi="Times New Roman" w:cs="Times New Roman"/>
                <w:color w:val="000000"/>
              </w:rPr>
              <w:t xml:space="preserve"> % - 0 баллов; Уменьшение ≥ 5 % - 1 балл; Уменьшение ≥ 10 % - 2 балла.</w:t>
            </w:r>
          </w:p>
          <w:p w:rsidR="00C15C35" w:rsidRDefault="00C15C35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Для медицинских организаций, значение показателя равно или ниже среднего значения по  Ставропольскому краю</w:t>
            </w:r>
            <w:r>
              <w:rPr>
                <w:rFonts w:ascii="Times New Roman" w:hAnsi="Times New Roman" w:cs="Times New Roman"/>
                <w:color w:val="000000"/>
                <w:vertAlign w:val="superscript"/>
              </w:rPr>
              <w:t>4:</w:t>
            </w:r>
          </w:p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При условии снижения по сравнению с предыдущим периодом или достижения мини</w:t>
            </w:r>
            <w:r>
              <w:rPr>
                <w:rFonts w:ascii="Times New Roman" w:hAnsi="Times New Roman" w:cs="Times New Roman"/>
                <w:color w:val="000000"/>
              </w:rPr>
              <w:t>мально возможного значения показателя - 2 балла;</w:t>
            </w:r>
          </w:p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В иных случаях - 1 балл.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</w:tr>
      <w:tr w:rsidR="00C15C35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17.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15.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Доля взрослых, повторно госпитализированных за период по причине заболеваний сердечно- сосудистой системы или их осложнений в течение года с момента предыдущей госпитализа</w:t>
            </w:r>
            <w:r>
              <w:rPr>
                <w:rFonts w:ascii="Times New Roman" w:hAnsi="Times New Roman" w:cs="Times New Roman"/>
                <w:color w:val="000000"/>
              </w:rPr>
              <w:t>ции, от общего числа взрослых, госпитализированных за период по причине заболеваний сердечно- сосудистой системы или их осложнений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Уменьшение показателя за период по отношению к показателю в предыдущем периоде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Для медицинских организаций, значение показателя которых, выше среднего значения по Ставропольскому краю</w:t>
            </w:r>
            <w:r>
              <w:rPr>
                <w:rFonts w:ascii="Times New Roman" w:hAnsi="Times New Roman" w:cs="Times New Roman"/>
                <w:color w:val="000000"/>
                <w:vertAlign w:val="superscript"/>
              </w:rPr>
              <w:t>4:</w:t>
            </w:r>
          </w:p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Уменьшение &lt; 3 % - 0 баллов; Уменьшение ≥ 3 % - 1 балл; Уменьшение ≥ 7 % - 2 балла.</w:t>
            </w:r>
          </w:p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Для медицинских организаций, значение показателя равно или ниже с</w:t>
            </w:r>
            <w:r>
              <w:rPr>
                <w:rFonts w:ascii="Times New Roman" w:hAnsi="Times New Roman" w:cs="Times New Roman"/>
                <w:color w:val="000000"/>
              </w:rPr>
              <w:t>реднего значения по Ставропольскому краю</w:t>
            </w:r>
            <w:r>
              <w:rPr>
                <w:rFonts w:ascii="Times New Roman" w:hAnsi="Times New Roman" w:cs="Times New Roman"/>
                <w:color w:val="000000"/>
                <w:vertAlign w:val="superscript"/>
              </w:rPr>
              <w:t>4:</w:t>
            </w:r>
          </w:p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При условии снижения по сравнению с предыдущим периодом или достижения минимально возможного значения показателя - 2 балла;</w:t>
            </w:r>
          </w:p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В иных случаях - 1 балл.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C15C35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</w:tr>
      <w:tr w:rsidR="00C15C35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16.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Доля взрослых, находящихся под диспансерным наблюден</w:t>
            </w:r>
            <w:r>
              <w:rPr>
                <w:rFonts w:ascii="Times New Roman" w:hAnsi="Times New Roman" w:cs="Times New Roman"/>
                <w:color w:val="000000"/>
              </w:rPr>
              <w:t xml:space="preserve">ием по поводу сахарного диабета, у которых впервые </w:t>
            </w:r>
            <w:r>
              <w:rPr>
                <w:rFonts w:ascii="Times New Roman" w:hAnsi="Times New Roman" w:cs="Times New Roman"/>
                <w:color w:val="000000"/>
              </w:rPr>
              <w:lastRenderedPageBreak/>
              <w:t>зарегистрированы осложнения за период (диабетическая ретинопатия, диабетическая стопа), от общего числа находящихся под диспансерным наблюдением по поводу сахарного диабета за период</w:t>
            </w:r>
            <w:r>
              <w:rPr>
                <w:rFonts w:ascii="Times New Roman" w:hAnsi="Times New Roman" w:cs="Times New Roman"/>
                <w:color w:val="000000"/>
                <w:vertAlign w:val="superscript"/>
              </w:rPr>
              <w:t>3</w:t>
            </w:r>
            <w:r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Уменьшение показател</w:t>
            </w:r>
            <w:r>
              <w:rPr>
                <w:rFonts w:ascii="Times New Roman" w:hAnsi="Times New Roman" w:cs="Times New Roman"/>
                <w:color w:val="000000"/>
              </w:rPr>
              <w:t xml:space="preserve">я за период по отношению к показателю в предыдущем </w:t>
            </w:r>
            <w:r>
              <w:rPr>
                <w:rFonts w:ascii="Times New Roman" w:hAnsi="Times New Roman" w:cs="Times New Roman"/>
                <w:color w:val="000000"/>
              </w:rPr>
              <w:lastRenderedPageBreak/>
              <w:t>периоде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C15C35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Для медицинских организаций, значение показателя которых, выше среднего значения по Ставропольскому краю</w:t>
            </w:r>
            <w:r>
              <w:rPr>
                <w:rFonts w:ascii="Times New Roman" w:hAnsi="Times New Roman" w:cs="Times New Roman"/>
                <w:color w:val="000000"/>
                <w:vertAlign w:val="superscript"/>
              </w:rPr>
              <w:t>4:</w:t>
            </w:r>
          </w:p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Уменьшение &lt; 5 % - 0 баллов; </w:t>
            </w:r>
            <w:r>
              <w:rPr>
                <w:rFonts w:ascii="Times New Roman" w:hAnsi="Times New Roman" w:cs="Times New Roman"/>
                <w:color w:val="000000"/>
              </w:rPr>
              <w:lastRenderedPageBreak/>
              <w:t>Уменьшение ≥ 5 % - 1,5 балла; Уменьшение ≥ 10 % - 3 балла.</w:t>
            </w:r>
          </w:p>
          <w:p w:rsidR="00C15C35" w:rsidRDefault="00C15C35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Для медицинских организаций, значение показателя равно или ниже среднего значения по Ставропольскому краю</w:t>
            </w:r>
            <w:r>
              <w:rPr>
                <w:rFonts w:ascii="Times New Roman" w:hAnsi="Times New Roman" w:cs="Times New Roman"/>
                <w:color w:val="000000"/>
                <w:vertAlign w:val="superscript"/>
              </w:rPr>
              <w:t>4:</w:t>
            </w:r>
          </w:p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При условии снижения по сравнению с предыдущим периодом или достижения минимально возможного значения показателя - 3 балла;</w:t>
            </w:r>
          </w:p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В иных случаях - 1,5 балла.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3</w:t>
            </w:r>
          </w:p>
        </w:tc>
      </w:tr>
      <w:tr w:rsidR="00C15C35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19.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C15C35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Детское население (от 0 до 17 лет включительно)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35</w:t>
            </w:r>
          </w:p>
        </w:tc>
      </w:tr>
      <w:tr w:rsidR="00C15C35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20.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C15C35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4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Оценка эффективности профилактических мероприятий и диспансерного наблюдения</w:t>
            </w:r>
          </w:p>
        </w:tc>
      </w:tr>
      <w:tr w:rsidR="00C15C35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21.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17.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Охват вакцинацией детей в рамках Национального календаря прививок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Достижение планового показателя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100% плана или более – 5 баллов;</w:t>
            </w:r>
          </w:p>
          <w:p w:rsidR="00C15C35" w:rsidRDefault="00C15C35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Выше среднего значения - 3 балла</w:t>
            </w:r>
          </w:p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Менее 100% от плана, но с приростом показателя по сравнению с предыдущем периодом – 2 балла;</w:t>
            </w:r>
          </w:p>
          <w:p w:rsidR="00C15C35" w:rsidRDefault="00C15C35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Менее 100% от плана, равно или со снижением показателя по сравнению с предыдущем периодом – 0 баллов.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</w:t>
            </w:r>
          </w:p>
        </w:tc>
      </w:tr>
      <w:tr w:rsidR="00C15C35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22.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Доля детей, в отношении которых установлено диспансерное наблюдение по поводу болезней костно-мышечной системы и соединительной ткани за период</w:t>
            </w:r>
            <w:r>
              <w:rPr>
                <w:rFonts w:ascii="Times New Roman" w:hAnsi="Times New Roman" w:cs="Times New Roman"/>
                <w:color w:val="000000"/>
              </w:rPr>
              <w:t>, от общего числа детей с впервые в жизни установленными диагнозами болезней костно-мышечной системы и соединительной ткани за период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3</w:t>
            </w:r>
            <w:r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C15C35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Прирост показателя за период по отношению к показателю за предыдущий период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Для медицинских организаций, значение показ</w:t>
            </w:r>
            <w:r>
              <w:rPr>
                <w:rFonts w:ascii="Times New Roman" w:hAnsi="Times New Roman" w:cs="Times New Roman"/>
                <w:color w:val="000000"/>
              </w:rPr>
              <w:t>ателя которых ниже среднего по Ставропольскому краю</w:t>
            </w:r>
            <w:r>
              <w:rPr>
                <w:rFonts w:ascii="Times New Roman" w:hAnsi="Times New Roman" w:cs="Times New Roman"/>
                <w:color w:val="000000"/>
                <w:vertAlign w:val="superscript"/>
              </w:rPr>
              <w:t>4:</w:t>
            </w:r>
          </w:p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Прирост ≥ 3% - 6 баллов;</w:t>
            </w:r>
          </w:p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Прирост ≥ 1% - 3 балла;</w:t>
            </w:r>
          </w:p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Прирост &lt; 1% - 0 баллов.</w:t>
            </w:r>
          </w:p>
          <w:p w:rsidR="00C15C35" w:rsidRDefault="00C15C35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vertAlign w:val="superscript"/>
              </w:rPr>
            </w:pPr>
            <w:r>
              <w:rPr>
                <w:rFonts w:ascii="Times New Roman" w:hAnsi="Times New Roman" w:cs="Times New Roman"/>
                <w:color w:val="000000"/>
                <w:vertAlign w:val="superscript"/>
              </w:rPr>
              <w:t>Для медицинских организаций, значение показателя равно или выше среднего по Ставропольскому краю4:</w:t>
            </w:r>
          </w:p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При условии прироста по сравнению с предыдущим периодом или достижения максимально возможного значения показателя - 6 баллов;</w:t>
            </w:r>
          </w:p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В иных случаях - 3 балла.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</w:t>
            </w:r>
          </w:p>
        </w:tc>
      </w:tr>
      <w:tr w:rsidR="00C15C35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23.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19.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Доля детей, в отношении которых установлено диспансерное наблюдение по поводу болезней глаза </w:t>
            </w:r>
            <w:r>
              <w:rPr>
                <w:rFonts w:ascii="Times New Roman" w:hAnsi="Times New Roman" w:cs="Times New Roman"/>
                <w:color w:val="000000"/>
              </w:rPr>
              <w:t xml:space="preserve">и его придаточного аппарата </w:t>
            </w:r>
            <w:r>
              <w:rPr>
                <w:rFonts w:ascii="Times New Roman" w:hAnsi="Times New Roman" w:cs="Times New Roman"/>
                <w:color w:val="000000"/>
              </w:rPr>
              <w:lastRenderedPageBreak/>
              <w:t>за период, от общего числа детей с впервые в жизни установленными диагнозами болезней глаза и его придаточного аппарата за период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C15C35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Прирост показателя за период по отношению к </w:t>
            </w:r>
            <w:r>
              <w:rPr>
                <w:rFonts w:ascii="Times New Roman" w:hAnsi="Times New Roman" w:cs="Times New Roman"/>
                <w:color w:val="000000"/>
              </w:rPr>
              <w:lastRenderedPageBreak/>
              <w:t>показателю за предыдущий период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Для медицинских организаций, значение показателя которых ниже среднего по Ставропольскому краю</w:t>
            </w:r>
            <w:r>
              <w:rPr>
                <w:rFonts w:ascii="Times New Roman" w:hAnsi="Times New Roman" w:cs="Times New Roman"/>
                <w:color w:val="000000"/>
                <w:vertAlign w:val="superscript"/>
              </w:rPr>
              <w:t>4:</w:t>
            </w:r>
          </w:p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Прирост ≥ 3% - 6 баллов;</w:t>
            </w:r>
          </w:p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Прирост ≥ 1% - 3 балла;</w:t>
            </w:r>
          </w:p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Прирост &lt; 1% - 0 баллов.</w:t>
            </w:r>
          </w:p>
          <w:p w:rsidR="00C15C35" w:rsidRDefault="00C15C35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vertAlign w:val="superscript"/>
              </w:rPr>
            </w:pPr>
            <w:r>
              <w:rPr>
                <w:rFonts w:ascii="Times New Roman" w:hAnsi="Times New Roman" w:cs="Times New Roman"/>
                <w:color w:val="000000"/>
                <w:vertAlign w:val="superscript"/>
              </w:rPr>
              <w:t>Для медицинских организаций, значение показателя равно или выше среднего по Ставропо</w:t>
            </w:r>
            <w:r>
              <w:rPr>
                <w:rFonts w:ascii="Times New Roman" w:hAnsi="Times New Roman" w:cs="Times New Roman"/>
                <w:color w:val="000000"/>
                <w:vertAlign w:val="superscript"/>
              </w:rPr>
              <w:t>льскому краю4:</w:t>
            </w:r>
          </w:p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При условии прироста по сравнению с предыдущим периодом или достижения максимально возможного значения показателя - 6 баллов;</w:t>
            </w:r>
          </w:p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В иных случаях - 3 балла.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6</w:t>
            </w:r>
          </w:p>
        </w:tc>
      </w:tr>
      <w:tr w:rsidR="00C15C35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24.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20.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Доля детей, в отношении которых установлено диспансерное наблюдение по поводу болезней органов пищеварения за период, от общего числа детей с впервые в жизни установленными диагнозами болезней органов пищеварения за период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C15C35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Прирост показателя за период п</w:t>
            </w:r>
            <w:r>
              <w:rPr>
                <w:rFonts w:ascii="Times New Roman" w:hAnsi="Times New Roman" w:cs="Times New Roman"/>
                <w:color w:val="000000"/>
              </w:rPr>
              <w:t>о отношению к показателю за предыдущий период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Для медицинских организаций, значение показателя которых ниже среднего по Ставропольскому краю</w:t>
            </w:r>
            <w:r>
              <w:rPr>
                <w:rFonts w:ascii="Times New Roman" w:hAnsi="Times New Roman" w:cs="Times New Roman"/>
                <w:color w:val="000000"/>
                <w:vertAlign w:val="superscript"/>
              </w:rPr>
              <w:t>4:</w:t>
            </w:r>
          </w:p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Прирост ≥ 3% - 6 баллов;</w:t>
            </w:r>
          </w:p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Прирост ≥ 1% - 3 балла;</w:t>
            </w:r>
          </w:p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Прирост &lt; 1% - 0 баллов.</w:t>
            </w:r>
          </w:p>
          <w:p w:rsidR="00C15C35" w:rsidRDefault="00C15C35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vertAlign w:val="superscript"/>
              </w:rPr>
            </w:pPr>
            <w:r>
              <w:rPr>
                <w:rFonts w:ascii="Times New Roman" w:hAnsi="Times New Roman" w:cs="Times New Roman"/>
                <w:color w:val="000000"/>
                <w:vertAlign w:val="superscript"/>
              </w:rPr>
              <w:t xml:space="preserve">Для медицинских организаций, значение </w:t>
            </w:r>
            <w:r>
              <w:rPr>
                <w:rFonts w:ascii="Times New Roman" w:hAnsi="Times New Roman" w:cs="Times New Roman"/>
                <w:color w:val="000000"/>
                <w:vertAlign w:val="superscript"/>
              </w:rPr>
              <w:t>показателя равно или выше среднего по Ставропольскому краю4:</w:t>
            </w:r>
          </w:p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При условии прироста по сравнению с предыдущим периодом или достижения максимально возможного значения показателя - 6 баллов;</w:t>
            </w:r>
          </w:p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В иных случаях - 3 балла.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</w:t>
            </w:r>
          </w:p>
        </w:tc>
      </w:tr>
      <w:tr w:rsidR="00C15C35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25.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21.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Доля детей, в отношении которых установлено диспансерное наблюдение по поводу болезней системы кровообращения за период от общего числа детей с впервые в жизни установленными диагнозами болезней системы кровообращения за период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C15C35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Прирост показателя за пер</w:t>
            </w:r>
            <w:r>
              <w:rPr>
                <w:rFonts w:ascii="Times New Roman" w:hAnsi="Times New Roman" w:cs="Times New Roman"/>
                <w:color w:val="000000"/>
              </w:rPr>
              <w:t>иод по отношению к показателю за предыдущий период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Для медицинских организаций, значение показателя которых ниже среднего по Ставропольскому краю</w:t>
            </w:r>
            <w:r>
              <w:rPr>
                <w:rFonts w:ascii="Times New Roman" w:hAnsi="Times New Roman" w:cs="Times New Roman"/>
                <w:color w:val="000000"/>
                <w:vertAlign w:val="superscript"/>
              </w:rPr>
              <w:t>4:</w:t>
            </w:r>
          </w:p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Прирост ≥ 3% - 6 баллов;</w:t>
            </w:r>
          </w:p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Прирост ≥ 1% - 3 балла;</w:t>
            </w:r>
          </w:p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Прирост &lt; 1% - 0 баллов.</w:t>
            </w:r>
          </w:p>
          <w:p w:rsidR="00C15C35" w:rsidRDefault="00C15C35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vertAlign w:val="superscript"/>
              </w:rPr>
            </w:pPr>
            <w:r>
              <w:rPr>
                <w:rFonts w:ascii="Times New Roman" w:hAnsi="Times New Roman" w:cs="Times New Roman"/>
                <w:color w:val="000000"/>
                <w:vertAlign w:val="superscript"/>
              </w:rPr>
              <w:t>Для медицинских организаций, значение показателя равно или выше среднего по Ставропольскому краю4:</w:t>
            </w:r>
          </w:p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При условии прироста по сравнению с предыдущим периодом или достижения максимально возможного значения показателя - 6 баллов;</w:t>
            </w:r>
          </w:p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В иных случаях - 3 балла.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</w:t>
            </w:r>
          </w:p>
        </w:tc>
      </w:tr>
      <w:tr w:rsidR="00C15C35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26</w:t>
            </w:r>
            <w:r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22.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Доля детей, в отношении которых установлено диспансерное наблюдение </w:t>
            </w:r>
            <w:r>
              <w:rPr>
                <w:rFonts w:ascii="Times New Roman" w:hAnsi="Times New Roman" w:cs="Times New Roman"/>
                <w:color w:val="000000"/>
              </w:rPr>
              <w:t xml:space="preserve">по поводу болезней эндокринной системы, расстройства питания и нарушения обмена веществ </w:t>
            </w:r>
            <w:r>
              <w:rPr>
                <w:rFonts w:ascii="Times New Roman" w:hAnsi="Times New Roman" w:cs="Times New Roman"/>
                <w:color w:val="000000"/>
              </w:rPr>
              <w:lastRenderedPageBreak/>
              <w:t>за период, от общего числа детей с впервые в жизни установленными диагнозами болезней эндокринной системы, расстройства питания и нарушения обмена веществ за период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C15C35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Прирост показателя за период по отношению к показателю за предыдущий </w:t>
            </w:r>
            <w:r>
              <w:rPr>
                <w:rFonts w:ascii="Times New Roman" w:hAnsi="Times New Roman" w:cs="Times New Roman"/>
                <w:color w:val="000000"/>
              </w:rPr>
              <w:lastRenderedPageBreak/>
              <w:t>период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Для медицинских организаций, значение показателя которых ниже среднего по Ставропольскому краю</w:t>
            </w:r>
            <w:r>
              <w:rPr>
                <w:rFonts w:ascii="Times New Roman" w:hAnsi="Times New Roman" w:cs="Times New Roman"/>
                <w:color w:val="000000"/>
                <w:vertAlign w:val="superscript"/>
              </w:rPr>
              <w:t>4:</w:t>
            </w:r>
          </w:p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Прирост ≥ 3% - 6 баллов;</w:t>
            </w:r>
          </w:p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Прирост ≥ 1% - 3 балла;</w:t>
            </w:r>
          </w:p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Прирост &lt; 1% - 0 баллов.</w:t>
            </w:r>
          </w:p>
          <w:p w:rsidR="00C15C35" w:rsidRDefault="00C15C35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vertAlign w:val="superscript"/>
              </w:rPr>
            </w:pPr>
            <w:r>
              <w:rPr>
                <w:rFonts w:ascii="Times New Roman" w:hAnsi="Times New Roman" w:cs="Times New Roman"/>
                <w:color w:val="000000"/>
                <w:vertAlign w:val="superscript"/>
              </w:rPr>
              <w:lastRenderedPageBreak/>
              <w:t>Для меди</w:t>
            </w:r>
            <w:r>
              <w:rPr>
                <w:rFonts w:ascii="Times New Roman" w:hAnsi="Times New Roman" w:cs="Times New Roman"/>
                <w:color w:val="000000"/>
                <w:vertAlign w:val="superscript"/>
              </w:rPr>
              <w:t>цинских организаций, значение показателя равно или выше среднего по Ставропольскому краю4:</w:t>
            </w:r>
          </w:p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При условии прироста по сравнению с предыдущим периодом или достижения максимально возможного значения показателя - 6 баллов;</w:t>
            </w:r>
          </w:p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В иных случаях - 3 балла.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6</w:t>
            </w:r>
          </w:p>
        </w:tc>
      </w:tr>
      <w:tr w:rsidR="00C15C35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27.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C15C35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Оказа</w:t>
            </w:r>
            <w:r>
              <w:rPr>
                <w:rFonts w:ascii="Times New Roman" w:hAnsi="Times New Roman" w:cs="Times New Roman"/>
                <w:color w:val="000000"/>
              </w:rPr>
              <w:t>ние акушерско-гинекологической помощи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35</w:t>
            </w:r>
          </w:p>
        </w:tc>
      </w:tr>
      <w:tr w:rsidR="00C15C35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28.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C15C35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4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Оценка эффективности профилактических мероприятий</w:t>
            </w:r>
          </w:p>
        </w:tc>
      </w:tr>
      <w:tr w:rsidR="00C15C35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29.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23.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Доля женщин, отказавшихся от искусственного прерывания беременности, от числа женщин, прошедших доабортное консультирование за период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Прирост показателя за период по отношению к показателю за предыдущий период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Для медицинских организаций, значение показателя которых ниже среднего по Ставропольскому краю</w:t>
            </w:r>
            <w:r>
              <w:rPr>
                <w:rFonts w:ascii="Times New Roman" w:hAnsi="Times New Roman" w:cs="Times New Roman"/>
                <w:color w:val="000000"/>
                <w:vertAlign w:val="superscript"/>
              </w:rPr>
              <w:t>4:</w:t>
            </w:r>
          </w:p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Прирост ≥ 10% - 8 баллов;</w:t>
            </w:r>
          </w:p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Прирост ≥ 7% - 5 баллов;</w:t>
            </w:r>
          </w:p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Прирост ≥ 3% - 3 балла;</w:t>
            </w:r>
          </w:p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Прирост </w:t>
            </w:r>
            <w:r>
              <w:rPr>
                <w:rFonts w:ascii="Times New Roman" w:hAnsi="Times New Roman" w:cs="Times New Roman"/>
                <w:color w:val="000000"/>
              </w:rPr>
              <w:t>&lt; 3% - 1 балл.</w:t>
            </w:r>
          </w:p>
          <w:p w:rsidR="00C15C35" w:rsidRDefault="00C15C35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Для медицинских организаций, значение показателя равно или выше среднего по Ставропольскому краю</w:t>
            </w:r>
            <w:r>
              <w:rPr>
                <w:rFonts w:ascii="Times New Roman" w:hAnsi="Times New Roman" w:cs="Times New Roman"/>
                <w:color w:val="000000"/>
                <w:vertAlign w:val="superscript"/>
              </w:rPr>
              <w:t>4:</w:t>
            </w:r>
          </w:p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При условии достижения максимально возможного значения показателя - 8 баллов;</w:t>
            </w:r>
          </w:p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При условии прироста по сравнению с предыдущим периодом - 5 бал</w:t>
            </w:r>
            <w:r>
              <w:rPr>
                <w:rFonts w:ascii="Times New Roman" w:hAnsi="Times New Roman" w:cs="Times New Roman"/>
                <w:color w:val="000000"/>
              </w:rPr>
              <w:t>лов;</w:t>
            </w:r>
          </w:p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В иных случаях - 4 балла.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</w:t>
            </w:r>
          </w:p>
        </w:tc>
      </w:tr>
      <w:tr w:rsidR="00C15C35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30.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24.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Доля женщин с подозрением на злокачественное новообразование шейки матки, выявленным впервые при профилактическом медицинском осмотре или диспансеризации, от общего числа женщин с подозрением на злокачественное нов</w:t>
            </w:r>
            <w:r>
              <w:rPr>
                <w:rFonts w:ascii="Times New Roman" w:hAnsi="Times New Roman" w:cs="Times New Roman"/>
                <w:color w:val="000000"/>
              </w:rPr>
              <w:t>ообразование или впервые в жизни установленным диагнозом злокачественное новообразование шейки матки, за период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Прирост показателя за период по отношению к показателю за предыдущий период.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Для медицинских организаций, значение показателя которых ниже сре</w:t>
            </w:r>
            <w:r>
              <w:rPr>
                <w:rFonts w:ascii="Times New Roman" w:hAnsi="Times New Roman" w:cs="Times New Roman"/>
                <w:color w:val="000000"/>
              </w:rPr>
              <w:t>днего по Ставропольскому краю</w:t>
            </w:r>
            <w:r>
              <w:rPr>
                <w:rFonts w:ascii="Times New Roman" w:hAnsi="Times New Roman" w:cs="Times New Roman"/>
                <w:color w:val="000000"/>
                <w:vertAlign w:val="superscript"/>
              </w:rPr>
              <w:t>4:</w:t>
            </w:r>
          </w:p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Прирост ≥ 10% - 9 баллов;</w:t>
            </w:r>
          </w:p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Прирост ≥ 7% - 7 баллов;</w:t>
            </w:r>
          </w:p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Прирост ≥ 3% - 3 балла;</w:t>
            </w:r>
          </w:p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Прирост &lt; 3% - 1 балл.</w:t>
            </w:r>
          </w:p>
          <w:p w:rsidR="00C15C35" w:rsidRDefault="00C15C35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</w:p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Для медицинских организаций, значение показателя равно или выше среднего по Ставропольскому краю</w:t>
            </w:r>
            <w:r>
              <w:rPr>
                <w:rFonts w:ascii="Times New Roman" w:hAnsi="Times New Roman" w:cs="Times New Roman"/>
                <w:color w:val="000000"/>
                <w:vertAlign w:val="superscript"/>
              </w:rPr>
              <w:t>4:</w:t>
            </w:r>
          </w:p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При условии прироста по сравнению с предыдущим периодом или достижения максимально возможного значения показателя - 9 баллов;</w:t>
            </w:r>
          </w:p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В иных случаях - 4,5 балла.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</w:t>
            </w:r>
          </w:p>
        </w:tc>
      </w:tr>
      <w:tr w:rsidR="00C15C35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31.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25.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Доля женщин с подозрением на злокачественное новообразование молочной железы, выявленным вп</w:t>
            </w:r>
            <w:r>
              <w:rPr>
                <w:rFonts w:ascii="Times New Roman" w:hAnsi="Times New Roman" w:cs="Times New Roman"/>
                <w:color w:val="000000"/>
              </w:rPr>
              <w:t>ервые при профилактическом медицинском осмотре или диспансеризации, от общего числа женщин с подозрением на злокачественное новообразование или впервые в жизни установленным диагнозом злокачественное новообразование молочной железы, за период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3</w:t>
            </w:r>
            <w:r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Прирост пок</w:t>
            </w:r>
            <w:r>
              <w:rPr>
                <w:rFonts w:ascii="Times New Roman" w:hAnsi="Times New Roman" w:cs="Times New Roman"/>
                <w:color w:val="000000"/>
              </w:rPr>
              <w:t>азателя за период по отношению к показателю за предыдущий период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Для медицинских организаций, значение показателя которых ниже среднего по Ставропольскому краю</w:t>
            </w:r>
            <w:r>
              <w:rPr>
                <w:rFonts w:ascii="Times New Roman" w:hAnsi="Times New Roman" w:cs="Times New Roman"/>
                <w:color w:val="000000"/>
                <w:vertAlign w:val="superscript"/>
              </w:rPr>
              <w:t>4:</w:t>
            </w:r>
          </w:p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Прирост ≥ 10% - 9 баллов;</w:t>
            </w:r>
          </w:p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Прирост ≥ 7% - 7 баллов;</w:t>
            </w:r>
          </w:p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Прирост ≥ 3% - 3 балла;</w:t>
            </w:r>
          </w:p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Прирост &lt; 3</w:t>
            </w:r>
            <w:r>
              <w:rPr>
                <w:rFonts w:ascii="Times New Roman" w:hAnsi="Times New Roman" w:cs="Times New Roman"/>
                <w:color w:val="000000"/>
              </w:rPr>
              <w:t>% - 1 балл.</w:t>
            </w:r>
          </w:p>
          <w:p w:rsidR="00C15C35" w:rsidRDefault="00C15C35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</w:p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Для медицинских организаций, значение показателя равно или выше среднего по Ставропольскому краю</w:t>
            </w:r>
            <w:r>
              <w:rPr>
                <w:rFonts w:ascii="Times New Roman" w:hAnsi="Times New Roman" w:cs="Times New Roman"/>
                <w:color w:val="000000"/>
                <w:vertAlign w:val="superscript"/>
              </w:rPr>
              <w:t>4:</w:t>
            </w:r>
          </w:p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При условии прироста по сравнению с предыдущим периодом или достижения максимально возможного значения показателя - 9 баллов;</w:t>
            </w:r>
          </w:p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В иных случаях - 4,5 балла.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</w:t>
            </w:r>
          </w:p>
        </w:tc>
      </w:tr>
      <w:tr w:rsidR="00C15C35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32.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26.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Доля беременных женщин, прошедших скрининг в части оценки антенатального развития плода за период, от общего числа женщин, состоявших на учете по поводу беременности и родов за период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Прирост показателя за период по о</w:t>
            </w:r>
            <w:r>
              <w:rPr>
                <w:rFonts w:ascii="Times New Roman" w:hAnsi="Times New Roman" w:cs="Times New Roman"/>
                <w:color w:val="000000"/>
              </w:rPr>
              <w:t>тношению к показателю за предыдущий период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Для медицинских организаций, значение показателя которых ниже среднего по Ставропольскому краю</w:t>
            </w:r>
            <w:r>
              <w:rPr>
                <w:rFonts w:ascii="Times New Roman" w:hAnsi="Times New Roman" w:cs="Times New Roman"/>
                <w:color w:val="000000"/>
                <w:vertAlign w:val="superscript"/>
              </w:rPr>
              <w:t>4:</w:t>
            </w:r>
          </w:p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Прирост ≥ 10% - 9 баллов;</w:t>
            </w:r>
          </w:p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Прирост ≥ 7% - 7 баллов;</w:t>
            </w:r>
          </w:p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Прирост ≥ 3% - 3 балла;</w:t>
            </w:r>
          </w:p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Прирост &lt; 3% - 1 балл.</w:t>
            </w:r>
          </w:p>
          <w:p w:rsidR="00C15C35" w:rsidRDefault="00C15C35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</w:p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Для медицинских о</w:t>
            </w:r>
            <w:r>
              <w:rPr>
                <w:rFonts w:ascii="Times New Roman" w:hAnsi="Times New Roman" w:cs="Times New Roman"/>
                <w:color w:val="000000"/>
              </w:rPr>
              <w:t>рганизаций, значение показателя равно или выше среднего по Ставропольскому краю</w:t>
            </w:r>
            <w:r>
              <w:rPr>
                <w:rFonts w:ascii="Times New Roman" w:hAnsi="Times New Roman" w:cs="Times New Roman"/>
                <w:color w:val="000000"/>
                <w:vertAlign w:val="superscript"/>
              </w:rPr>
              <w:t>4:</w:t>
            </w:r>
          </w:p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При условии прироста по сравнению с предыдущим периодом или достижения максимально возможного значения показателя - 9 баллов;</w:t>
            </w:r>
          </w:p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В иных случаях - 4,5 балла.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</w:t>
            </w:r>
          </w:p>
        </w:tc>
      </w:tr>
      <w:tr w:rsidR="00C15C35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33.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C15C35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Оценка качества оказания медицинской помощи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35</w:t>
            </w:r>
          </w:p>
        </w:tc>
      </w:tr>
      <w:tr w:rsidR="00C15C35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jc w:val="center"/>
              <w:rPr>
                <w:color w:val="000000"/>
              </w:rPr>
            </w:pPr>
            <w:r>
              <w:rPr>
                <w:color w:val="000000"/>
              </w:rPr>
              <w:t>34.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rPr>
                <w:color w:val="000000"/>
              </w:rPr>
            </w:pPr>
            <w:r>
              <w:rPr>
                <w:color w:val="000000"/>
              </w:rPr>
              <w:t>27.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rPr>
                <w:rFonts w:ascii="TimesNewRoman" w:hAnsi="TimesNewRoman" w:cs="TimesNewRoman"/>
              </w:rPr>
            </w:pPr>
            <w:r>
              <w:rPr>
                <w:rFonts w:ascii="TimesNewRoman" w:hAnsi="TimesNewRoman" w:cs="TimesNewRoman"/>
                <w:color w:val="000000"/>
              </w:rPr>
              <w:t xml:space="preserve">Доля экспертиз качества медицинской помощи, оказанной в рамках диспансерного наблюдения, в которых выявлены нарушения, приведшие к ухудшению </w:t>
            </w:r>
            <w:r>
              <w:rPr>
                <w:rFonts w:ascii="TimesNewRoman" w:hAnsi="TimesNewRoman" w:cs="TimesNewRoman"/>
                <w:color w:val="000000"/>
              </w:rPr>
              <w:t xml:space="preserve">состояния здоровья, летальному исходу застрахованного лица, от всех проведенных </w:t>
            </w:r>
            <w:r>
              <w:rPr>
                <w:rFonts w:ascii="TimesNewRoman" w:hAnsi="TimesNewRoman" w:cs="TimesNewRoman"/>
                <w:color w:val="000000"/>
              </w:rPr>
              <w:lastRenderedPageBreak/>
              <w:t>экспертиз качества медицинской помощи. (ЭДН</w:t>
            </w:r>
            <w:r>
              <w:rPr>
                <w:rFonts w:ascii="TimesNewRoman" w:hAnsi="TimesNewRoman" w:cs="TimesNewRoman"/>
                <w:color w:val="000000"/>
                <w:vertAlign w:val="subscript"/>
              </w:rPr>
              <w:t>Э</w:t>
            </w:r>
            <w:r>
              <w:rPr>
                <w:rFonts w:ascii="TimesNewRoman" w:hAnsi="TimesNewRoman" w:cs="TimesNewRoman"/>
                <w:color w:val="000000"/>
              </w:rPr>
              <w:t>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rPr>
                <w:rFonts w:ascii="TimesNewRoman" w:hAnsi="TimesNewRoman" w:cs="TimesNewRoman"/>
                <w:color w:val="000000"/>
              </w:rPr>
            </w:pPr>
            <w:r>
              <w:rPr>
                <w:rFonts w:ascii="TimesNewRoman" w:hAnsi="TimesNewRoman" w:cs="TimesNewRoman"/>
                <w:color w:val="000000"/>
              </w:rPr>
              <w:lastRenderedPageBreak/>
              <w:t>Отсутствие нарушений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jc w:val="center"/>
              <w:rPr>
                <w:rFonts w:ascii="TimesNewRoman" w:hAnsi="TimesNewRoman" w:cs="TimesNewRoman"/>
              </w:rPr>
            </w:pPr>
            <w:r>
              <w:rPr>
                <w:rFonts w:ascii="TimesNewRoman" w:hAnsi="TimesNewRoman" w:cs="TimesNewRoman"/>
                <w:color w:val="000000"/>
              </w:rPr>
              <w:t xml:space="preserve">Отсутствие нарушений – 4 балла. Выявлены нарушения в ≤ 3% от всех проведенных экспертиз качества медицинской </w:t>
            </w:r>
            <w:r>
              <w:rPr>
                <w:rFonts w:ascii="TimesNewRoman" w:hAnsi="TimesNewRoman" w:cs="TimesNewRoman"/>
                <w:color w:val="000000"/>
              </w:rPr>
              <w:t>помощи (-2 балла). Выявлены нарушения в &gt; 3% от всех проведенных экспертиз качества медицинской помощи (-4 балла).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jc w:val="center"/>
              <w:rPr>
                <w:rFonts w:ascii="TimesNewRoman" w:hAnsi="TimesNewRoman" w:cs="TimesNewRoman"/>
                <w:color w:val="000000"/>
              </w:rPr>
            </w:pPr>
            <w:r>
              <w:rPr>
                <w:rFonts w:ascii="TimesNewRoman" w:hAnsi="TimesNewRoman" w:cs="TimesNewRoman"/>
                <w:color w:val="000000"/>
              </w:rPr>
              <w:t>4</w:t>
            </w:r>
          </w:p>
        </w:tc>
      </w:tr>
      <w:tr w:rsidR="00C15C35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35.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28.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rPr>
                <w:rFonts w:ascii="TimesNewRoman" w:hAnsi="TimesNewRoman" w:cs="TimesNewRoman"/>
              </w:rPr>
            </w:pPr>
            <w:r>
              <w:rPr>
                <w:rFonts w:ascii="TimesNewRoman" w:hAnsi="TimesNewRoman" w:cs="TimesNewRoman"/>
                <w:color w:val="000000"/>
              </w:rPr>
              <w:t>Доля экспертиз качества медицинской помощи, в которых выявлены нарушения, приведшие к ухудшению состояния здоровья застрахованного лица, от всех проведенных экспертиз качества медицинской помощи. (BHэ)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rPr>
                <w:rFonts w:ascii="TimesNewRoman" w:hAnsi="TimesNewRoman" w:cs="TimesNewRoman"/>
                <w:color w:val="000000"/>
              </w:rPr>
            </w:pPr>
            <w:r>
              <w:rPr>
                <w:rFonts w:ascii="TimesNewRoman" w:hAnsi="TimesNewRoman" w:cs="TimesNewRoman"/>
                <w:color w:val="000000"/>
              </w:rPr>
              <w:t>Отсутствие нарушений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jc w:val="center"/>
              <w:rPr>
                <w:rFonts w:ascii="TimesNewRoman" w:hAnsi="TimesNewRoman" w:cs="TimesNewRoman"/>
              </w:rPr>
            </w:pPr>
            <w:r>
              <w:rPr>
                <w:rFonts w:ascii="TimesNewRoman" w:hAnsi="TimesNewRoman" w:cs="TimesNewRoman"/>
                <w:color w:val="000000"/>
              </w:rPr>
              <w:t>Отсутствие нарушений – 3 балла. В</w:t>
            </w:r>
            <w:r>
              <w:rPr>
                <w:rFonts w:ascii="TimesNewRoman" w:hAnsi="TimesNewRoman" w:cs="TimesNewRoman"/>
                <w:color w:val="000000"/>
              </w:rPr>
              <w:t>ыявлены нарушения в ≤ 3% от всех проведенных экспертиз качества медицинской помощи (-2 балла). Выявлены нарушения в &gt; 3% от всех проведенных экспертиз качества медицинской помощи (-3 балла).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jc w:val="center"/>
              <w:rPr>
                <w:rFonts w:ascii="TimesNewRoman" w:hAnsi="TimesNewRoman" w:cs="TimesNewRoman"/>
                <w:color w:val="000000"/>
              </w:rPr>
            </w:pPr>
            <w:r>
              <w:rPr>
                <w:rFonts w:ascii="TimesNewRoman" w:hAnsi="TimesNewRoman" w:cs="TimesNewRoman"/>
                <w:color w:val="000000"/>
              </w:rPr>
              <w:t>3</w:t>
            </w:r>
          </w:p>
        </w:tc>
      </w:tr>
      <w:tr w:rsidR="00C15C35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36.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29.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rPr>
                <w:rFonts w:ascii="TimesNewRoman" w:hAnsi="TimesNewRoman" w:cs="TimesNewRoman"/>
              </w:rPr>
            </w:pPr>
            <w:r>
              <w:rPr>
                <w:rFonts w:ascii="TimesNewRoman" w:hAnsi="TimesNewRoman" w:cs="TimesNewRoman"/>
                <w:color w:val="000000"/>
              </w:rPr>
              <w:t xml:space="preserve">Доля экспертиз качества медицинской помощи, в которых </w:t>
            </w:r>
            <w:r>
              <w:rPr>
                <w:rFonts w:ascii="TimesNewRoman" w:hAnsi="TimesNewRoman" w:cs="TimesNewRoman"/>
                <w:color w:val="000000"/>
              </w:rPr>
              <w:t>выявлены нарушения, приведшие к инвалидизации застрахованного лица, от всех проведенных экспертиз качества медицинской помощи. (BI</w:t>
            </w:r>
            <w:r>
              <w:rPr>
                <w:rFonts w:ascii="TimesNewRoman" w:hAnsi="TimesNewRoman" w:cs="TimesNewRoman"/>
                <w:color w:val="000000"/>
                <w:vertAlign w:val="subscript"/>
              </w:rPr>
              <w:t>Э</w:t>
            </w:r>
            <w:r>
              <w:rPr>
                <w:rFonts w:ascii="TimesNewRoman" w:hAnsi="TimesNewRoman" w:cs="TimesNewRoman"/>
                <w:color w:val="000000"/>
              </w:rPr>
              <w:t>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rPr>
                <w:rFonts w:ascii="TimesNewRoman" w:hAnsi="TimesNewRoman" w:cs="TimesNewRoman"/>
                <w:color w:val="000000"/>
              </w:rPr>
            </w:pPr>
            <w:r>
              <w:rPr>
                <w:rFonts w:ascii="TimesNewRoman" w:hAnsi="TimesNewRoman" w:cs="TimesNewRoman"/>
                <w:color w:val="000000"/>
              </w:rPr>
              <w:t>Отсутствие нарушений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jc w:val="center"/>
              <w:rPr>
                <w:rFonts w:ascii="TimesNewRoman" w:hAnsi="TimesNewRoman" w:cs="TimesNewRoman"/>
              </w:rPr>
            </w:pPr>
            <w:r>
              <w:rPr>
                <w:rFonts w:ascii="TimesNewRoman" w:hAnsi="TimesNewRoman" w:cs="TimesNewRoman"/>
                <w:color w:val="000000"/>
              </w:rPr>
              <w:t>Отсутствие нарушений – 5 баллов. Выявлены нарушения ≤ 3% от всех проведенных экспертиз качества медици</w:t>
            </w:r>
            <w:r>
              <w:rPr>
                <w:rFonts w:ascii="TimesNewRoman" w:hAnsi="TimesNewRoman" w:cs="TimesNewRoman"/>
                <w:color w:val="000000"/>
              </w:rPr>
              <w:t>нской помощи (-3 балла). Выявлены нарушения &gt; 3% от всех проведенных экспертиз качества медицинской помощи (-5 баллов).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jc w:val="center"/>
              <w:rPr>
                <w:rFonts w:ascii="TimesNewRoman" w:hAnsi="TimesNewRoman" w:cs="TimesNewRoman"/>
                <w:color w:val="000000"/>
              </w:rPr>
            </w:pPr>
            <w:r>
              <w:rPr>
                <w:rFonts w:ascii="TimesNewRoman" w:hAnsi="TimesNewRoman" w:cs="TimesNewRoman"/>
                <w:color w:val="000000"/>
              </w:rPr>
              <w:t>5</w:t>
            </w:r>
          </w:p>
        </w:tc>
      </w:tr>
      <w:tr w:rsidR="00C15C35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37.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30.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rPr>
                <w:rFonts w:ascii="TimesNewRoman" w:hAnsi="TimesNewRoman" w:cs="TimesNewRoman"/>
              </w:rPr>
            </w:pPr>
            <w:r>
              <w:rPr>
                <w:rFonts w:ascii="TimesNewRoman" w:hAnsi="TimesNewRoman" w:cs="TimesNewRoman"/>
                <w:color w:val="000000"/>
              </w:rPr>
              <w:t>Доля экспертиз качества медицинской помощи, в которых выявлены нарушения, приведшие к летальному исходу застрахованного лица,</w:t>
            </w:r>
            <w:r>
              <w:rPr>
                <w:rFonts w:ascii="TimesNewRoman" w:hAnsi="TimesNewRoman" w:cs="TimesNewRoman"/>
                <w:color w:val="000000"/>
              </w:rPr>
              <w:t xml:space="preserve"> от всех проведенных экспертиз качества медицинской помощи. (BVэ)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rPr>
                <w:rFonts w:ascii="TimesNewRoman" w:hAnsi="TimesNewRoman" w:cs="TimesNewRoman"/>
              </w:rPr>
            </w:pPr>
            <w:r>
              <w:rPr>
                <w:rFonts w:ascii="TimesNewRoman" w:hAnsi="TimesNewRoman" w:cs="TimesNewRoman"/>
                <w:color w:val="000000"/>
              </w:rPr>
              <w:t>Отсутствие нарушений.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jc w:val="center"/>
              <w:rPr>
                <w:rFonts w:ascii="TimesNewRoman" w:hAnsi="TimesNewRoman" w:cs="TimesNewRoman"/>
              </w:rPr>
            </w:pPr>
            <w:r>
              <w:rPr>
                <w:rFonts w:ascii="TimesNewRoman" w:hAnsi="TimesNewRoman" w:cs="TimesNewRoman"/>
                <w:color w:val="000000"/>
              </w:rPr>
              <w:t>Отсутствие нарушений – 8 баллов. Выявлены нарушения ≤ 3% от всех проведенных экспертиз качества медицинской помощи (-4 балла). Выявлены нарушения &gt;</w:t>
            </w:r>
            <w:r>
              <w:rPr>
                <w:rFonts w:ascii="TimesNewRoman" w:hAnsi="TimesNewRoman" w:cs="TimesNewRoman"/>
                <w:color w:val="000000"/>
              </w:rPr>
              <w:t xml:space="preserve"> 3% от всех проведенных экспертиз качества медицинской помощи (-8 баллов).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jc w:val="center"/>
              <w:rPr>
                <w:rFonts w:ascii="TimesNewRoman" w:hAnsi="TimesNewRoman" w:cs="TimesNewRoman"/>
                <w:color w:val="000000"/>
              </w:rPr>
            </w:pPr>
            <w:r>
              <w:rPr>
                <w:rFonts w:ascii="TimesNewRoman" w:hAnsi="TimesNewRoman" w:cs="TimesNewRoman"/>
                <w:color w:val="000000"/>
              </w:rPr>
              <w:t>8</w:t>
            </w:r>
          </w:p>
        </w:tc>
      </w:tr>
      <w:tr w:rsidR="00C15C35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38.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31.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rPr>
                <w:rFonts w:ascii="TimesNewRoman" w:hAnsi="TimesNewRoman" w:cs="TimesNewRoman"/>
              </w:rPr>
            </w:pPr>
            <w:r>
              <w:rPr>
                <w:rFonts w:ascii="TimesNewRoman" w:hAnsi="TimesNewRoman" w:cs="TimesNewRoman"/>
                <w:color w:val="000000"/>
              </w:rPr>
              <w:t>Необоснованный отказ застрахованным лицам в оказании медицинской помощи в соответствии с программами обязательного медицинского страхования, с последующим ухудшением сост</w:t>
            </w:r>
            <w:r>
              <w:rPr>
                <w:rFonts w:ascii="TimesNewRoman" w:hAnsi="TimesNewRoman" w:cs="TimesNewRoman"/>
                <w:color w:val="000000"/>
              </w:rPr>
              <w:t>ояния здоровья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rPr>
                <w:rFonts w:ascii="TimesNewRoman" w:hAnsi="TimesNewRoman" w:cs="TimesNewRoman"/>
                <w:color w:val="000000"/>
              </w:rPr>
            </w:pPr>
            <w:r>
              <w:rPr>
                <w:rFonts w:ascii="TimesNewRoman" w:hAnsi="TimesNewRoman" w:cs="TimesNewRoman"/>
                <w:color w:val="000000"/>
              </w:rPr>
              <w:t>Отсутствие нарушений.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jc w:val="center"/>
              <w:rPr>
                <w:rFonts w:ascii="TimesNewRoman" w:hAnsi="TimesNewRoman" w:cs="TimesNewRoman"/>
                <w:color w:val="000000"/>
              </w:rPr>
            </w:pPr>
            <w:r>
              <w:rPr>
                <w:rFonts w:ascii="TimesNewRoman" w:hAnsi="TimesNewRoman" w:cs="TimesNewRoman"/>
                <w:color w:val="000000"/>
              </w:rPr>
              <w:t xml:space="preserve">Отсутствие нарушений – 3 балла; Наличие нарушения, приведшего к ухудшению состояния здоровья </w:t>
            </w:r>
          </w:p>
          <w:p w:rsidR="00C15C35" w:rsidRDefault="00EC0FFE">
            <w:pPr>
              <w:pStyle w:val="ConsPlusNormal"/>
              <w:jc w:val="center"/>
              <w:rPr>
                <w:rFonts w:ascii="TimesNewRoman" w:hAnsi="TimesNewRoman" w:cs="TimesNewRoman"/>
              </w:rPr>
            </w:pPr>
            <w:r>
              <w:rPr>
                <w:rFonts w:ascii="TimesNewRoman" w:hAnsi="TimesNewRoman" w:cs="TimesNewRoman"/>
                <w:color w:val="000000"/>
              </w:rPr>
              <w:t>(- 3 балла).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jc w:val="center"/>
              <w:rPr>
                <w:rFonts w:ascii="TimesNewRoman" w:hAnsi="TimesNewRoman" w:cs="TimesNewRoman"/>
                <w:color w:val="000000"/>
              </w:rPr>
            </w:pPr>
            <w:r>
              <w:rPr>
                <w:rFonts w:ascii="TimesNewRoman" w:hAnsi="TimesNewRoman" w:cs="TimesNewRoman"/>
                <w:color w:val="000000"/>
              </w:rPr>
              <w:t>3</w:t>
            </w:r>
          </w:p>
        </w:tc>
      </w:tr>
      <w:tr w:rsidR="00C15C35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39.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32.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Необоснованный отказ застрахованным лицам в </w:t>
            </w:r>
            <w:r>
              <w:rPr>
                <w:rFonts w:ascii="Times New Roman" w:hAnsi="Times New Roman" w:cs="Times New Roman"/>
                <w:color w:val="000000"/>
              </w:rPr>
              <w:lastRenderedPageBreak/>
              <w:t xml:space="preserve">оказании медицинской помощи в соответствии с программами </w:t>
            </w:r>
            <w:r>
              <w:rPr>
                <w:rFonts w:ascii="Times New Roman" w:hAnsi="Times New Roman" w:cs="Times New Roman"/>
                <w:color w:val="000000"/>
              </w:rPr>
              <w:t>обязательного медицинского страхования, приведший к летальному исходу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Отсутствие нарушений.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Отсутствие нарушений – 8 баллов; Наличие нарушения, приведшего к </w:t>
            </w:r>
            <w:r>
              <w:rPr>
                <w:rFonts w:ascii="Times New Roman" w:hAnsi="Times New Roman" w:cs="Times New Roman"/>
                <w:color w:val="000000"/>
              </w:rPr>
              <w:lastRenderedPageBreak/>
              <w:t>летальному исходу (-8 баллов).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8</w:t>
            </w:r>
          </w:p>
        </w:tc>
      </w:tr>
      <w:tr w:rsidR="00C15C35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40.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33.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Доля застрахованных лиц, которым оказывалась медицинская помощь в стационарных условиях, с впервые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выявленным диагнозом, по которому предусмотрено установление диспансерного наблюдения и получивших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в течение трех рабочих дней консультацию врача-специалиста</w:t>
            </w:r>
            <w:r>
              <w:rPr>
                <w:rFonts w:ascii="Times New Roman" w:hAnsi="Times New Roman" w:cs="Times New Roman"/>
                <w:color w:val="000000"/>
              </w:rPr>
              <w:t xml:space="preserve"> (фельдшера фельдшерско- акушерского пункта, фельдшерского пункта при условии возложения на него функции лечащего врача), от застрахованных лиц, которым оказывалась медицинская помощь в стационарных условиях, с диагнозом, по которому предусмотрено установл</w:t>
            </w:r>
            <w:r>
              <w:rPr>
                <w:rFonts w:ascii="Times New Roman" w:hAnsi="Times New Roman" w:cs="Times New Roman"/>
                <w:color w:val="000000"/>
              </w:rPr>
              <w:t>ение диспансерного наблюдения (за исключением тех пациентов, которые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направлены на лечение в стационарных условиях и в условиях дневного стационара)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Достижение показателя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100% - 4 балла;</w:t>
            </w:r>
          </w:p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90% - 99% - 2 балла;</w:t>
            </w:r>
          </w:p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89% и ниже – 0 баллов.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</w:t>
            </w:r>
          </w:p>
        </w:tc>
      </w:tr>
    </w:tbl>
    <w:p w:rsidR="00C15C35" w:rsidRDefault="00C15C35">
      <w:pPr>
        <w:pStyle w:val="ConsPlusNormal"/>
        <w:jc w:val="both"/>
        <w:rPr>
          <w:sz w:val="28"/>
          <w:szCs w:val="28"/>
        </w:rPr>
      </w:pPr>
    </w:p>
    <w:p w:rsidR="00C15C35" w:rsidRDefault="00EC0FFE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--------------------------------</w:t>
      </w:r>
    </w:p>
    <w:p w:rsidR="00C15C35" w:rsidRDefault="00EC0FFE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</w:rPr>
      </w:pPr>
      <w:r>
        <w:rPr>
          <w:sz w:val="28"/>
          <w:szCs w:val="28"/>
          <w:vertAlign w:val="superscript"/>
        </w:rPr>
        <w:t>1</w:t>
      </w:r>
      <w:bookmarkStart w:id="1" w:name="Par315"/>
      <w:bookmarkEnd w:id="1"/>
      <w:r>
        <w:rPr>
          <w:sz w:val="28"/>
          <w:szCs w:val="28"/>
          <w:vertAlign w:val="superscript"/>
        </w:rPr>
        <w:t xml:space="preserve"> </w:t>
      </w:r>
      <w:r>
        <w:rPr>
          <w:rFonts w:ascii="Times New Roman" w:hAnsi="Times New Roman" w:cs="Times New Roman"/>
        </w:rPr>
        <w:t>Выполненным считается показатель со значением 0,5 и более баллов. В случае, если медицинская организация удовлетворяет нескольким критериям для начисления баллов - присваивается максимальный из возможных для начисления ба</w:t>
      </w:r>
      <w:r>
        <w:rPr>
          <w:rFonts w:ascii="Times New Roman" w:hAnsi="Times New Roman" w:cs="Times New Roman"/>
        </w:rPr>
        <w:t xml:space="preserve">лл). В случае, если значение, указанное в знаменателе соответствующих формул, приведенных </w:t>
      </w:r>
      <w:r>
        <w:rPr>
          <w:rFonts w:ascii="Times New Roman" w:hAnsi="Times New Roman" w:cs="Times New Roman"/>
          <w:color w:val="000000"/>
        </w:rPr>
        <w:t xml:space="preserve">в </w:t>
      </w:r>
      <w:r>
        <w:rPr>
          <w:rFonts w:ascii="Times New Roman" w:hAnsi="Times New Roman" w:cs="Times New Roman"/>
        </w:rPr>
        <w:t xml:space="preserve"> настоящего приложения, равняется нулю, баллы по показателю не начисляются, а указанный показатель (по решению субъекта Российской Федерации) может исключаться из ч</w:t>
      </w:r>
      <w:r>
        <w:rPr>
          <w:rFonts w:ascii="Times New Roman" w:hAnsi="Times New Roman" w:cs="Times New Roman"/>
        </w:rPr>
        <w:t xml:space="preserve">исла применяемых показателей при </w:t>
      </w:r>
      <w:r>
        <w:rPr>
          <w:rFonts w:ascii="Times New Roman" w:hAnsi="Times New Roman" w:cs="Times New Roman"/>
        </w:rPr>
        <w:lastRenderedPageBreak/>
        <w:t>расчете доли достигнутых показателей результативности для медицинской организации за период.</w:t>
      </w:r>
    </w:p>
    <w:p w:rsidR="00C15C35" w:rsidRDefault="00EC0FFE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316"/>
      <w:bookmarkEnd w:id="2"/>
      <w:r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>
        <w:rPr>
          <w:rFonts w:ascii="Times New Roman" w:hAnsi="Times New Roman" w:cs="Times New Roman"/>
        </w:rPr>
        <w:t xml:space="preserve"> По решению Комиссии рекомендуемые значения максимальных баллов и их количество могут быть пересмотрены для учреждений, которые о</w:t>
      </w:r>
      <w:r>
        <w:rPr>
          <w:rFonts w:ascii="Times New Roman" w:hAnsi="Times New Roman" w:cs="Times New Roman"/>
        </w:rPr>
        <w:t>казывают помощь женщинам и детскому населению (отдельные юридические лица)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15C35" w:rsidRDefault="00EC0FFE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</w:rPr>
      </w:pPr>
      <w:bookmarkStart w:id="3" w:name="Par317"/>
      <w:bookmarkEnd w:id="3"/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3 </w:t>
      </w:r>
      <w:r>
        <w:rPr>
          <w:rFonts w:ascii="Times New Roman" w:hAnsi="Times New Roman" w:cs="Times New Roman"/>
        </w:rPr>
        <w:t>По набору кодов Международной статистической классификацией болезней и проблем, связанных со здоровьем, десятого пересмотра (МКБ-10).</w:t>
      </w:r>
    </w:p>
    <w:p w:rsidR="00C15C35" w:rsidRDefault="00EC0FFE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</w:rPr>
      </w:pPr>
      <w:bookmarkStart w:id="4" w:name="Par318"/>
      <w:bookmarkEnd w:id="4"/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4 </w:t>
      </w:r>
      <w:r>
        <w:rPr>
          <w:rFonts w:ascii="Times New Roman" w:hAnsi="Times New Roman" w:cs="Times New Roman"/>
        </w:rPr>
        <w:t>Среднее значение по Ставропольскому краю п</w:t>
      </w:r>
      <w:r>
        <w:rPr>
          <w:rFonts w:ascii="Times New Roman" w:hAnsi="Times New Roman" w:cs="Times New Roman"/>
        </w:rPr>
        <w:t xml:space="preserve">о показателям рекомендуется рассчитывать на основании сведений об оказании медицинской помощи медицинскими организациями, имеющими прикрепленное население, оплата медицинской </w:t>
      </w:r>
      <w:r>
        <w:rPr>
          <w:rFonts w:ascii="Times New Roman" w:hAnsi="Times New Roman" w:cs="Times New Roman"/>
          <w:color w:val="000000"/>
        </w:rPr>
        <w:t>помощи в которых осуществляется по подушевому нормативу финансирования, путем дел</w:t>
      </w:r>
      <w:r>
        <w:rPr>
          <w:rFonts w:ascii="Times New Roman" w:hAnsi="Times New Roman" w:cs="Times New Roman"/>
          <w:color w:val="000000"/>
        </w:rPr>
        <w:t>ения суммы значений, указанных в числителе соответствующих формул, приведенных в  настоящего приложения, на сумму значений, указанных в знаменателе соответствующих формул, приведенных в  настоящего приложения. Полученное значение умножается на 100 по анало</w:t>
      </w:r>
      <w:r>
        <w:rPr>
          <w:rFonts w:ascii="Times New Roman" w:hAnsi="Times New Roman" w:cs="Times New Roman"/>
          <w:color w:val="000000"/>
        </w:rPr>
        <w:t>гии с алгоритмом, описанным в настоящего приложения</w:t>
      </w:r>
      <w:r>
        <w:rPr>
          <w:rFonts w:ascii="Times New Roman" w:hAnsi="Times New Roman" w:cs="Times New Roman"/>
        </w:rPr>
        <w:t>.</w:t>
      </w:r>
    </w:p>
    <w:p w:rsidR="00C15C35" w:rsidRDefault="00C15C35">
      <w:pPr>
        <w:pStyle w:val="ConsPlusNormal"/>
        <w:jc w:val="both"/>
        <w:rPr>
          <w:sz w:val="28"/>
          <w:szCs w:val="28"/>
        </w:rPr>
      </w:pPr>
    </w:p>
    <w:p w:rsidR="00EC0FFE" w:rsidRDefault="00EC0FFE">
      <w:pPr>
        <w:pStyle w:val="ConsPlusNormal"/>
        <w:jc w:val="both"/>
        <w:rPr>
          <w:sz w:val="28"/>
          <w:szCs w:val="28"/>
        </w:rPr>
      </w:pPr>
    </w:p>
    <w:p w:rsidR="00C15C35" w:rsidRDefault="00EC0FF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2</w:t>
      </w:r>
    </w:p>
    <w:p w:rsidR="00C15C35" w:rsidRDefault="00C15C3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15C35" w:rsidRDefault="00EC0FFE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bookmarkStart w:id="5" w:name="Par322"/>
      <w:bookmarkEnd w:id="5"/>
      <w:r>
        <w:rPr>
          <w:rFonts w:ascii="Times New Roman" w:hAnsi="Times New Roman" w:cs="Times New Roman"/>
          <w:sz w:val="28"/>
          <w:szCs w:val="28"/>
        </w:rPr>
        <w:t>Порядок</w:t>
      </w:r>
    </w:p>
    <w:p w:rsidR="00C15C35" w:rsidRDefault="00EC0FFE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расчета значений показателей результативности</w:t>
      </w:r>
    </w:p>
    <w:p w:rsidR="00C15C35" w:rsidRDefault="00EC0FFE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деятельности медицинских организаций</w:t>
      </w:r>
    </w:p>
    <w:p w:rsidR="00C15C35" w:rsidRDefault="00C15C35">
      <w:pPr>
        <w:pStyle w:val="ConsPlusNormal"/>
        <w:jc w:val="both"/>
        <w:rPr>
          <w:sz w:val="28"/>
          <w:szCs w:val="28"/>
        </w:rPr>
      </w:pPr>
    </w:p>
    <w:tbl>
      <w:tblPr>
        <w:tblW w:w="10566" w:type="dxa"/>
        <w:tblInd w:w="-36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8"/>
        <w:gridCol w:w="567"/>
        <w:gridCol w:w="2552"/>
        <w:gridCol w:w="3335"/>
        <w:gridCol w:w="1276"/>
        <w:gridCol w:w="2268"/>
      </w:tblGrid>
      <w:tr w:rsidR="00C15C35" w:rsidTr="00EC0FFE"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№ стр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№ показателя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Наименование показателя </w:t>
            </w: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Формула расчета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Единицы измерения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Источник</w:t>
            </w:r>
          </w:p>
        </w:tc>
      </w:tr>
      <w:tr w:rsidR="00C15C35" w:rsidTr="00EC0FFE"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C15C35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C15C35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</w:t>
            </w:r>
          </w:p>
        </w:tc>
      </w:tr>
      <w:tr w:rsidR="00C15C35" w:rsidTr="00EC0FFE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Доля лиц в возрасте от 18 до 39 лет, не прошедших в течение последних двух лет профилактический медицинский осмотр или диспансеризацию, от общего числа прикрепленного населения этой возрастной группы.</w:t>
            </w: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rPr>
                <w:rFonts w:ascii="Cambria Math" w:hAnsi="Cambria Math" w:cs="Cambria Math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609600</wp:posOffset>
                      </wp:positionH>
                      <wp:positionV relativeFrom="paragraph">
                        <wp:posOffset>222250</wp:posOffset>
                      </wp:positionV>
                      <wp:extent cx="818515" cy="7620"/>
                      <wp:effectExtent l="0" t="0" r="0" b="0"/>
                      <wp:wrapNone/>
                      <wp:docPr id="4" name="_x0000_s102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 bwMode="auto">
                              <a:xfrm>
                                <a:off x="0" y="0"/>
                                <a:ext cx="818515" cy="7620"/>
                                <a:chOff x="0" y="0"/>
                                <a:chExt cx="8185" cy="76"/>
                              </a:xfrm>
                            </wpg:grpSpPr>
                            <wps:wsp>
                              <wps:cNvPr id="5" name="Полилиния 5"/>
                              <wps:cNvSpPr/>
                              <wps:spPr bwMode="auto">
                                <a:xfrm>
                                  <a:off x="0" y="0"/>
                                  <a:ext cx="8185" cy="76"/>
                                </a:xfrm>
                                <a:custGeom>
                                  <a:avLst/>
                                  <a:gdLst>
                                    <a:gd name="gd0" fmla="val 65536"/>
                                    <a:gd name="gd1" fmla="val 99984"/>
                                    <a:gd name="gd2" fmla="val 100000"/>
                                    <a:gd name="gd3" fmla="val 0"/>
                                    <a:gd name="gd4" fmla="val 100000"/>
                                    <a:gd name="gd5" fmla="val 0"/>
                                    <a:gd name="gd6" fmla="val 0"/>
                                    <a:gd name="gd7" fmla="val 99984"/>
                                    <a:gd name="gd8" fmla="val 0"/>
                                    <a:gd name="gd9" fmla="+- gd7 0 0"/>
                                    <a:gd name="gd10" fmla="+- gd8 100000 0"/>
                                  </a:gdLst>
                                  <a:ahLst/>
                                  <a:cxnLst/>
                                  <a:rect l="0" t="0" r="r" b="b"/>
                                  <a:pathLst>
                                    <a:path w="100000" h="100000" extrusionOk="0">
                                      <a:moveTo>
                                        <a:pt x="gd1" y="gd2"/>
                                      </a:moveTo>
                                      <a:lnTo>
                                        <a:pt x="gd3" y="gd4"/>
                                      </a:lnTo>
                                      <a:lnTo>
                                        <a:pt x="gd5" y="gd6"/>
                                      </a:lnTo>
                                      <a:lnTo>
                                        <a:pt x="gd7" y="gd8"/>
                                      </a:lnTo>
                                      <a:lnTo>
                                        <a:pt x="gd9" y="gd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>
                                    <a:alpha val="0"/>
                                  </a:srgbClr>
                                </a:solidFill>
                                <a:ln>
                                  <a:noFill/>
                                </a:ln>
                              </wps:spPr>
                              <wps:bodyPr rot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a="http://schemas.openxmlformats.org/drawingml/2006/main">
                  <w:pict>
                    <v:group id="group 3" o:spid="_x0000_s0000" style="position:absolute;z-index:251658240;o:allowoverlap:true;o:allowincell:true;mso-position-horizontal-relative:text;margin-left:48.00pt;mso-position-horizontal:absolute;mso-position-vertical-relative:text;margin-top:17.50pt;mso-position-vertical:absolute;width:64.45pt;height:0.60pt;mso-wrap-distance-left:9.00pt;mso-wrap-distance-top:0.00pt;mso-wrap-distance-right:9.00pt;mso-wrap-distance-bottom:0.00pt;" coordorigin="0,0" coordsize="81,0">
                      <v:shape id="shape 4" o:spid="_x0000_s4" style="position:absolute;left:0;top:0;width:81;height:0;visibility:visible;" path="m99984,100000l0,100000l0,0l99984,0l99984,100000xe" coordsize="100000,100000" fillcolor="#000000" stroked="f">
                        <v:path textboxrect="0,0,100000,100000"/>
                        <v:fill opacity="100f"/>
                      </v:shape>
                    </v:group>
                  </w:pict>
                </mc:Fallback>
              </mc:AlternateContent>
            </w:r>
            <w:r>
              <w:rPr>
                <w:rFonts w:ascii="Times New Roman" w:hAnsi="Times New Roman" w:cs="Times New Roman"/>
              </w:rPr>
              <w:t xml:space="preserve">                 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18–39</w:t>
            </w:r>
            <w:r>
              <w:rPr>
                <w:rFonts w:ascii="Cambria Math" w:hAnsi="Cambria Math" w:cs="Cambria Math"/>
              </w:rPr>
              <w:t xml:space="preserve"> − 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18–39</w:t>
            </w:r>
          </w:p>
          <w:p w:rsidR="00C15C35" w:rsidRDefault="00EC0FFE">
            <w:pPr>
              <w:pStyle w:val="ConsPlusNormal"/>
              <w:rPr>
                <w:rFonts w:ascii="Cambria Math" w:hAnsi="Cambria Math" w:cs="Cambria Math"/>
              </w:rPr>
            </w:pPr>
            <w:r>
              <w:rPr>
                <w:rFonts w:ascii="Cambria Math" w:hAnsi="Cambria Math" w:cs="Cambria Math"/>
              </w:rPr>
              <w:t>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18–39</w:t>
            </w:r>
            <w:r>
              <w:rPr>
                <w:rFonts w:ascii="Cambria Math" w:hAnsi="Cambria Math" w:cs="Cambria Math"/>
              </w:rPr>
              <w:t xml:space="preserve"> =  _</w:t>
            </w:r>
            <w:r>
              <w:rPr>
                <w:rFonts w:ascii="Cambria Math" w:hAnsi="Cambria Math" w:cs="Cambria Math"/>
              </w:rPr>
              <w:t>__________________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Cambria Math" w:hAnsi="Cambria Math" w:cs="Cambria Math"/>
              </w:rPr>
              <w:t xml:space="preserve">                 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18–39</w:t>
            </w:r>
            <w:r>
              <w:rPr>
                <w:rFonts w:ascii="Cambria Math" w:hAnsi="Cambria Math" w:cs="Cambria Math"/>
              </w:rPr>
              <w:t xml:space="preserve"> x</w:t>
            </w:r>
            <w:r>
              <w:rPr>
                <w:rFonts w:ascii="Times New Roman" w:hAnsi="Times New Roman" w:cs="Times New Roman"/>
              </w:rPr>
              <w:t xml:space="preserve"> 100%,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где: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vertAlign w:val="subscript"/>
              </w:rPr>
              <w:t>S</w:t>
            </w:r>
            <w:r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18–3</w:t>
            </w:r>
            <w:r>
              <w:rPr>
                <w:rFonts w:ascii="Cambria Math" w:hAnsi="Cambria Math" w:cs="Cambria Math"/>
                <w:vertAlign w:val="subscript"/>
              </w:rPr>
              <w:t>9</w:t>
            </w:r>
            <w:r>
              <w:rPr>
                <w:rFonts w:ascii="Cambria Math" w:hAnsi="Cambria Math" w:cs="Cambria Math"/>
              </w:rPr>
              <w:t xml:space="preserve"> - </w:t>
            </w:r>
            <w:r>
              <w:rPr>
                <w:rFonts w:ascii="Times New Roman" w:hAnsi="Times New Roman" w:cs="Times New Roman"/>
              </w:rPr>
              <w:t>число лиц в возрасте от 18 до 39 лет (включительно), прошедших профилактический медицинский осмотр или диспансеризацию за период;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sz w:val="32"/>
                <w:szCs w:val="32"/>
                <w:vertAlign w:val="subscript"/>
              </w:rPr>
              <w:t>P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18</w:t>
            </w:r>
            <w:r>
              <w:rPr>
                <w:rFonts w:ascii="Times New Roman" w:hAnsi="Times New Roman" w:cs="Times New Roman"/>
                <w:color w:val="000000"/>
                <w:vertAlign w:val="subscript"/>
              </w:rPr>
              <w:t>–39</w:t>
            </w:r>
            <w:r>
              <w:rPr>
                <w:rFonts w:ascii="Times New Roman" w:hAnsi="Times New Roman" w:cs="Times New Roman"/>
                <w:color w:val="000000"/>
              </w:rPr>
              <w:t xml:space="preserve"> - число прикрепленных лиц к медицинской организации в возрасте от </w:t>
            </w:r>
            <w:r>
              <w:rPr>
                <w:rFonts w:ascii="Times New Roman" w:hAnsi="Times New Roman" w:cs="Times New Roman"/>
                <w:color w:val="000000"/>
              </w:rPr>
              <w:br/>
            </w:r>
            <w:r>
              <w:rPr>
                <w:rFonts w:ascii="Times New Roman" w:hAnsi="Times New Roman" w:cs="Times New Roman"/>
                <w:color w:val="000000"/>
              </w:rPr>
              <w:t>18 до 39 лет (включительно), среднее значение за период.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Процент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Расчет показателя осуществляется путем отбора информации по полям реестров счетов у которых значение поля TYPE (Тип реестра </w:t>
            </w:r>
            <w:r>
              <w:rPr>
                <w:rFonts w:ascii="Times New Roman" w:hAnsi="Times New Roman" w:cs="Times New Roman"/>
                <w:color w:val="000000"/>
              </w:rPr>
              <w:t xml:space="preserve">счетов) в соответствии со </w:t>
            </w:r>
            <w:r>
              <w:rPr>
                <w:rFonts w:ascii="Times New Roman" w:hAnsi="Times New Roman" w:cs="Times New Roman"/>
                <w:color w:val="000000"/>
                <w:highlight w:val="white"/>
              </w:rPr>
              <w:t>справочником SK017: 20, 21, 23, 80.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Отбор информации для расчета показателей осуществляется по полям реестра: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 дата окончания лечения;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-дата рождения;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- цель посещения.</w:t>
            </w:r>
          </w:p>
        </w:tc>
      </w:tr>
      <w:tr w:rsidR="00C15C35" w:rsidTr="00EC0FFE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Доля лиц в возрасте от 40 до 65 лет, не прошедших в течение последних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двух лет профилактический медицинский осмотр или диспансеризацию, от общего числа прикрепленного населения этой возрастной группы.</w:t>
            </w: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609600</wp:posOffset>
                      </wp:positionH>
                      <wp:positionV relativeFrom="paragraph">
                        <wp:posOffset>176530</wp:posOffset>
                      </wp:positionV>
                      <wp:extent cx="824865" cy="7620"/>
                      <wp:effectExtent l="0" t="0" r="0" b="0"/>
                      <wp:wrapNone/>
                      <wp:docPr id="5" name="_x0000_s102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 bwMode="auto">
                              <a:xfrm>
                                <a:off x="0" y="0"/>
                                <a:ext cx="824865" cy="7620"/>
                                <a:chOff x="0" y="0"/>
                                <a:chExt cx="8248" cy="76"/>
                              </a:xfrm>
                            </wpg:grpSpPr>
                            <wps:wsp>
                              <wps:cNvPr id="7" name="Полилиния 7"/>
                              <wps:cNvSpPr/>
                              <wps:spPr bwMode="auto">
                                <a:xfrm>
                                  <a:off x="0" y="0"/>
                                  <a:ext cx="8248" cy="76"/>
                                </a:xfrm>
                                <a:custGeom>
                                  <a:avLst/>
                                  <a:gdLst>
                                    <a:gd name="gd0" fmla="val 65536"/>
                                    <a:gd name="gd1" fmla="val 99951"/>
                                    <a:gd name="gd2" fmla="val 99986"/>
                                    <a:gd name="gd3" fmla="val 0"/>
                                    <a:gd name="gd4" fmla="val 99986"/>
                                    <a:gd name="gd5" fmla="val 0"/>
                                    <a:gd name="gd6" fmla="val 0"/>
                                    <a:gd name="gd7" fmla="val 99951"/>
                                    <a:gd name="gd8" fmla="val 0"/>
                                    <a:gd name="gd9" fmla="+- gd7 0 0"/>
                                    <a:gd name="gd10" fmla="+- gd8 99986 0"/>
                                  </a:gdLst>
                                  <a:ahLst/>
                                  <a:cxnLst/>
                                  <a:rect l="0" t="0" r="r" b="b"/>
                                  <a:pathLst>
                                    <a:path w="100000" h="100000" extrusionOk="0">
                                      <a:moveTo>
                                        <a:pt x="gd1" y="gd2"/>
                                      </a:moveTo>
                                      <a:lnTo>
                                        <a:pt x="gd3" y="gd4"/>
                                      </a:lnTo>
                                      <a:lnTo>
                                        <a:pt x="gd5" y="gd6"/>
                                      </a:lnTo>
                                      <a:lnTo>
                                        <a:pt x="gd7" y="gd8"/>
                                      </a:lnTo>
                                      <a:lnTo>
                                        <a:pt x="gd9" y="gd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>
                                    <a:alpha val="0"/>
                                  </a:srgbClr>
                                </a:solidFill>
                                <a:ln>
                                  <a:noFill/>
                                </a:ln>
                              </wps:spPr>
                              <wps:bodyPr rot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a="http://schemas.openxmlformats.org/drawingml/2006/main">
                  <w:pict>
                    <v:group id="group 5" o:spid="_x0000_s0000" style="position:absolute;z-index:251659264;o:allowoverlap:true;o:allowincell:true;mso-position-horizontal-relative:text;margin-left:48.00pt;mso-position-horizontal:absolute;mso-position-vertical-relative:text;margin-top:13.90pt;mso-position-vertical:absolute;width:64.95pt;height:0.60pt;mso-wrap-distance-left:9.00pt;mso-wrap-distance-top:0.00pt;mso-wrap-distance-right:9.00pt;mso-wrap-distance-bottom:0.00pt;" coordorigin="0,0" coordsize="82,0">
                      <v:shape id="shape 6" o:spid="_x0000_s6" style="position:absolute;left:0;top:0;width:82;height:0;visibility:visible;" path="m99949,99984l0,99984l0,0l99949,0l99949,99984xe" coordsize="100000,100000" fillcolor="#000000" stroked="f">
                        <v:path textboxrect="0,0,100000,100000"/>
                        <v:fill opacity="100f"/>
                      </v:shape>
                    </v:group>
                  </w:pict>
                </mc:Fallback>
              </mc:AlternateContent>
            </w:r>
            <w:r>
              <w:rPr>
                <w:rFonts w:ascii="Times New Roman" w:hAnsi="Times New Roman" w:cs="Times New Roman"/>
              </w:rPr>
              <w:t xml:space="preserve">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P </w:t>
            </w:r>
            <w:r>
              <w:rPr>
                <w:rFonts w:ascii="Times New Roman" w:hAnsi="Times New Roman" w:cs="Times New Roman"/>
                <w:sz w:val="20"/>
                <w:szCs w:val="20"/>
                <w:u w:val="single"/>
              </w:rPr>
              <w:t>40–65 −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S</w:t>
            </w:r>
            <w:r>
              <w:rPr>
                <w:rFonts w:ascii="Times New Roman" w:hAnsi="Times New Roman" w:cs="Times New Roman"/>
                <w:sz w:val="20"/>
                <w:szCs w:val="20"/>
                <w:u w:val="single"/>
              </w:rPr>
              <w:t>40–65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40–65 =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40–65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x  100%</w:t>
            </w:r>
            <w:r>
              <w:rPr>
                <w:rFonts w:ascii="Times New Roman" w:hAnsi="Times New Roman" w:cs="Times New Roman"/>
              </w:rPr>
              <w:t>,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где: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vertAlign w:val="subscript"/>
              </w:rPr>
              <w:t>S</w:t>
            </w:r>
            <w:r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40–65</w:t>
            </w:r>
            <w:r>
              <w:rPr>
                <w:rFonts w:ascii="Cambria Math" w:hAnsi="Cambria Math" w:cs="Cambria Math"/>
              </w:rPr>
              <w:t xml:space="preserve"> - </w:t>
            </w:r>
            <w:r>
              <w:rPr>
                <w:rFonts w:ascii="Times New Roman" w:hAnsi="Times New Roman" w:cs="Times New Roman"/>
              </w:rPr>
              <w:t>число лиц в возрасте от 40 до 65 лет (включительно), прошедших профилактический медицинский осмотр или диспансеризацию за период;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sz w:val="32"/>
                <w:szCs w:val="32"/>
                <w:vertAlign w:val="subscript"/>
              </w:rPr>
              <w:t>P</w:t>
            </w:r>
            <w:r>
              <w:rPr>
                <w:rFonts w:ascii="Times New Roman" w:hAnsi="Times New Roman" w:cs="Times New Roman"/>
                <w:color w:val="000000"/>
                <w:vertAlign w:val="subscript"/>
              </w:rPr>
              <w:t>40–65</w:t>
            </w:r>
            <w:r>
              <w:rPr>
                <w:rFonts w:ascii="Times New Roman" w:hAnsi="Times New Roman" w:cs="Times New Roman"/>
                <w:color w:val="000000"/>
              </w:rPr>
              <w:t xml:space="preserve"> - число прикрепленных лиц к медицинской организации в возрасте от</w:t>
            </w:r>
            <w:r>
              <w:rPr>
                <w:rFonts w:ascii="Times New Roman" w:hAnsi="Times New Roman" w:cs="Times New Roman"/>
                <w:color w:val="000000"/>
              </w:rPr>
              <w:br/>
            </w:r>
            <w:bookmarkStart w:id="6" w:name="_GoBack"/>
            <w:bookmarkEnd w:id="6"/>
            <w:r>
              <w:rPr>
                <w:rFonts w:ascii="Times New Roman" w:hAnsi="Times New Roman" w:cs="Times New Roman"/>
                <w:color w:val="000000"/>
              </w:rPr>
              <w:t xml:space="preserve"> 40 до 65 лет (включительно), с</w:t>
            </w:r>
            <w:r>
              <w:rPr>
                <w:rFonts w:ascii="Times New Roman" w:hAnsi="Times New Roman" w:cs="Times New Roman"/>
                <w:color w:val="000000"/>
              </w:rPr>
              <w:t>реднее значение за период.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Процент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Расчет показателя осуществляется путем отбора информации по полям реестров счетов у которых значение поля TYPE (Тип реестра счетов) в соответствии со справочником </w:t>
            </w:r>
            <w:r>
              <w:rPr>
                <w:rFonts w:ascii="Times New Roman" w:hAnsi="Times New Roman" w:cs="Times New Roman"/>
                <w:color w:val="000000"/>
                <w:highlight w:val="white"/>
              </w:rPr>
              <w:t>SK017: 20, 21, 23, 80.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Отбор информации для расчета показ</w:t>
            </w:r>
            <w:r>
              <w:rPr>
                <w:rFonts w:ascii="Times New Roman" w:hAnsi="Times New Roman" w:cs="Times New Roman"/>
                <w:color w:val="000000"/>
              </w:rPr>
              <w:t>ателей осуществляется по полям реестра: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 дата окончания лечения;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-дата рождения;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 цель посещения.</w:t>
            </w:r>
          </w:p>
        </w:tc>
      </w:tr>
      <w:tr w:rsidR="00C15C35" w:rsidTr="00EC0FFE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Доля в</w:t>
            </w:r>
            <w:r>
              <w:rPr>
                <w:rFonts w:ascii="Times New Roman" w:hAnsi="Times New Roman" w:cs="Times New Roman"/>
                <w:color w:val="000000"/>
              </w:rPr>
              <w:t>зрослых с болезнями системы кровообращения, выявленными впервые при профилактических медицинских осмотрах и диспансеризации за период, от общего числа взрослых пациентов с болезнями системы кровообращения с впервые в жизни установленным диагнозом за период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3</w:t>
            </w:r>
            <w:r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      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</w:rPr>
              <w:t>BSK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u w:val="single"/>
              </w:rPr>
              <w:t>дисп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D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БСК =  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BSK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вп x  </w:t>
            </w:r>
            <w:r>
              <w:rPr>
                <w:rFonts w:ascii="Times New Roman" w:hAnsi="Times New Roman" w:cs="Times New Roman"/>
                <w:color w:val="000000"/>
              </w:rPr>
              <w:t>100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%,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где: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BSKдисп - число взрослых с болезнями системы кровообращения, выявленными впервые при профилактическом медицинском осмотре или диспансеризации за период;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BSKвп - общее число взрослых пациентов с впер</w:t>
            </w:r>
            <w:r>
              <w:rPr>
                <w:rFonts w:ascii="Times New Roman" w:hAnsi="Times New Roman" w:cs="Times New Roman"/>
                <w:color w:val="000000"/>
              </w:rPr>
              <w:t>вые в жизни установленным диагнозом, относящимся к болезням системы кровообращения, за период.</w:t>
            </w:r>
          </w:p>
          <w:p w:rsidR="00C15C35" w:rsidRDefault="00C15C35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Коды МКБ: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I00 - I99 – Болезни системы кровообращения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Q20 - Q28 – Врожденные аномалии [пороки развития] системы кровообращения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Процент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Источником информации явля</w:t>
            </w:r>
            <w:r>
              <w:rPr>
                <w:rFonts w:ascii="Times New Roman" w:hAnsi="Times New Roman" w:cs="Times New Roman"/>
                <w:color w:val="000000"/>
              </w:rPr>
              <w:t>ются реестры, оказанной медицинской помощи застрахованным лицам.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Отбор информации для расчета показателей осуществляется по полям реестра: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 дата окончания лечения;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 диагноз основной;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 впервые выявлено (основной);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 характер заболевания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 цель посещения;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 дата рождения.</w:t>
            </w:r>
          </w:p>
        </w:tc>
      </w:tr>
      <w:tr w:rsidR="00C15C35" w:rsidTr="00EC0FFE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Доля взрослых с подозрением на </w:t>
            </w:r>
            <w:r>
              <w:rPr>
                <w:rFonts w:ascii="Times New Roman" w:hAnsi="Times New Roman" w:cs="Times New Roman"/>
                <w:color w:val="000000"/>
              </w:rPr>
              <w:lastRenderedPageBreak/>
              <w:t>злокачественное новообразование, выявленным впервые при профилактических медицинских осмотрах или диспансеризации за период, от общего числа взрослых пациентов с подозрением на злокачественное новообр</w:t>
            </w:r>
            <w:r>
              <w:rPr>
                <w:rFonts w:ascii="Times New Roman" w:hAnsi="Times New Roman" w:cs="Times New Roman"/>
                <w:color w:val="000000"/>
              </w:rPr>
              <w:t>азование или впервые в жизни установленным диагнозом злокачественное новообразование за период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noProof/>
              </w:rPr>
              <w:lastRenderedPageBreak/>
              <mc:AlternateContent>
                <mc:Choice Requires="wpg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693420</wp:posOffset>
                      </wp:positionH>
                      <wp:positionV relativeFrom="paragraph">
                        <wp:posOffset>239395</wp:posOffset>
                      </wp:positionV>
                      <wp:extent cx="581025" cy="9525"/>
                      <wp:effectExtent l="0" t="0" r="0" b="0"/>
                      <wp:wrapNone/>
                      <wp:docPr id="6" name="_x0000_s103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 bwMode="auto">
                              <a:xfrm>
                                <a:off x="0" y="0"/>
                                <a:ext cx="581025" cy="9525"/>
                                <a:chOff x="0" y="0"/>
                                <a:chExt cx="5810" cy="95"/>
                              </a:xfrm>
                            </wpg:grpSpPr>
                            <wps:wsp>
                              <wps:cNvPr id="9" name="Полилиния 9"/>
                              <wps:cNvSpPr/>
                              <wps:spPr bwMode="auto">
                                <a:xfrm>
                                  <a:off x="0" y="0"/>
                                  <a:ext cx="5810" cy="95"/>
                                </a:xfrm>
                                <a:custGeom>
                                  <a:avLst/>
                                  <a:gdLst>
                                    <a:gd name="gd0" fmla="val 65536"/>
                                    <a:gd name="gd1" fmla="val 99933"/>
                                    <a:gd name="gd2" fmla="val 95988"/>
                                    <a:gd name="gd3" fmla="val 0"/>
                                    <a:gd name="gd4" fmla="val 95988"/>
                                    <a:gd name="gd5" fmla="val 0"/>
                                    <a:gd name="gd6" fmla="val 0"/>
                                    <a:gd name="gd7" fmla="val 99933"/>
                                    <a:gd name="gd8" fmla="val 0"/>
                                    <a:gd name="gd9" fmla="+- gd7 0 0"/>
                                    <a:gd name="gd10" fmla="+- gd8 95988 0"/>
                                  </a:gdLst>
                                  <a:ahLst/>
                                  <a:cxnLst/>
                                  <a:rect l="0" t="0" r="r" b="b"/>
                                  <a:pathLst>
                                    <a:path w="100000" h="100000" extrusionOk="0">
                                      <a:moveTo>
                                        <a:pt x="gd1" y="gd2"/>
                                      </a:moveTo>
                                      <a:lnTo>
                                        <a:pt x="gd3" y="gd4"/>
                                      </a:lnTo>
                                      <a:lnTo>
                                        <a:pt x="gd5" y="gd6"/>
                                      </a:lnTo>
                                      <a:lnTo>
                                        <a:pt x="gd7" y="gd8"/>
                                      </a:lnTo>
                                      <a:lnTo>
                                        <a:pt x="gd9" y="gd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>
                                    <a:alpha val="0"/>
                                  </a:srgbClr>
                                </a:solidFill>
                                <a:ln>
                                  <a:noFill/>
                                </a:ln>
                              </wps:spPr>
                              <wps:bodyPr rot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a="http://schemas.openxmlformats.org/drawingml/2006/main">
                  <w:pict>
                    <v:group id="group 7" o:spid="_x0000_s0000" style="position:absolute;z-index:251660288;o:allowoverlap:true;o:allowincell:true;mso-position-horizontal-relative:text;margin-left:54.60pt;mso-position-horizontal:absolute;mso-position-vertical-relative:text;margin-top:18.85pt;mso-position-vertical:absolute;width:45.75pt;height:0.75pt;mso-wrap-distance-left:9.00pt;mso-wrap-distance-top:0.00pt;mso-wrap-distance-right:9.00pt;mso-wrap-distance-bottom:0.00pt;" coordorigin="0,0" coordsize="58,0">
                      <v:shape id="shape 8" o:spid="_x0000_s8" style="position:absolute;left:0;top:0;width:58;height:0;visibility:visible;" path="m99933,95986l0,95986l0,0l99933,0l99933,95986xe" coordsize="100000,100000" fillcolor="#000000" stroked="f">
                        <v:path textboxrect="0,0,100000,100000"/>
                        <v:fill opacity="100f"/>
                      </v:shape>
                    </v:group>
                  </w:pict>
                </mc:Fallback>
              </mc:AlternateContent>
            </w:r>
            <w:r>
              <w:rPr>
                <w:rFonts w:ascii="Times New Roman" w:hAnsi="Times New Roman" w:cs="Times New Roman"/>
                <w:color w:val="000000"/>
              </w:rPr>
              <w:t xml:space="preserve">                    ZNO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дисп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D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3НО =     ___________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            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ZNO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вп  x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%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где: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ZNO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дисп</w:t>
            </w:r>
            <w:r>
              <w:rPr>
                <w:rFonts w:ascii="Cambria Math" w:hAnsi="Cambria Math" w:cs="Cambria Math"/>
                <w:color w:val="000000"/>
              </w:rPr>
              <w:t xml:space="preserve"> - </w:t>
            </w:r>
            <w:r>
              <w:rPr>
                <w:rFonts w:ascii="Times New Roman" w:hAnsi="Times New Roman" w:cs="Times New Roman"/>
                <w:color w:val="000000"/>
              </w:rPr>
              <w:t>число взрослых с подозрением на злокачественное новооб</w:t>
            </w:r>
            <w:r>
              <w:rPr>
                <w:rFonts w:ascii="Times New Roman" w:hAnsi="Times New Roman" w:cs="Times New Roman"/>
                <w:color w:val="000000"/>
              </w:rPr>
              <w:t>разование, выявленным впервые при профилактическом медицинском осмотре или диспансеризации за период;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ZNO</w:t>
            </w:r>
            <w:r>
              <w:rPr>
                <w:rFonts w:ascii="Times New Roman" w:hAnsi="Times New Roman" w:cs="Times New Roman"/>
                <w:color w:val="000000"/>
              </w:rPr>
              <w:t>вп - общее число взрослых пациентов с подозрением на злокачественное новообразование или впервые в жизни установленным диагнозом злокачественное новооб</w:t>
            </w:r>
            <w:r>
              <w:rPr>
                <w:rFonts w:ascii="Times New Roman" w:hAnsi="Times New Roman" w:cs="Times New Roman"/>
                <w:color w:val="000000"/>
              </w:rPr>
              <w:t>разование за период.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Коды МКБ: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C00-C96 – Злокачественные новообразования.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D00-D09 – In situ новообразования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Процент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afd"/>
              <w:spacing w:before="0" w:after="0" w:line="288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Расчет показателя осуществляется </w:t>
            </w:r>
            <w:r>
              <w:rPr>
                <w:rFonts w:ascii="Times New Roman" w:hAnsi="Times New Roman" w:cs="Times New Roman"/>
              </w:rPr>
              <w:lastRenderedPageBreak/>
              <w:t>путем отбора информации по полям реестров счетов у которых значение поля TYPE (Тип реестра счетов) в соответствии со справочником SK017 находится в диапазоне "20 - 29" и 80 - 81 предусматривает заполнение поля реестра "Приз</w:t>
            </w:r>
            <w:r>
              <w:rPr>
                <w:rFonts w:ascii="Times New Roman" w:hAnsi="Times New Roman" w:cs="Times New Roman"/>
              </w:rPr>
              <w:t>нак подозрения на ЗНО" значением "1". Движение пациента отслеживается по реестрам счетов у которых значение поля TYPE (Тип реестра счетов) в соответствии со справочником SK017 "60";</w:t>
            </w:r>
          </w:p>
          <w:p w:rsidR="00C15C35" w:rsidRDefault="00EC0FFE">
            <w:pPr>
              <w:pStyle w:val="afd"/>
              <w:spacing w:before="0" w:after="0" w:line="288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диагноз основной, </w:t>
            </w:r>
          </w:p>
          <w:p w:rsidR="00C15C35" w:rsidRDefault="00EC0FFE">
            <w:pPr>
              <w:pStyle w:val="afd"/>
              <w:spacing w:before="0" w:after="0" w:line="288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характер основного заболевания </w:t>
            </w:r>
          </w:p>
          <w:p w:rsidR="00C15C35" w:rsidRDefault="00C15C35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C15C35" w:rsidTr="00EC0FFE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5.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Доля взрослых с установленным диагнозом хроническая обструктивная болезнь легких, выявленным впервые при профилактических медицинских осмотрах и диспансеризации за период, от общего числа взрослых пациентов с впервые в жизни установленным диагнозом хрониче</w:t>
            </w:r>
            <w:r>
              <w:rPr>
                <w:rFonts w:ascii="Times New Roman" w:hAnsi="Times New Roman" w:cs="Times New Roman"/>
                <w:color w:val="000000"/>
              </w:rPr>
              <w:t xml:space="preserve">ская </w:t>
            </w:r>
            <w:r>
              <w:rPr>
                <w:rFonts w:ascii="Times New Roman" w:hAnsi="Times New Roman" w:cs="Times New Roman"/>
                <w:color w:val="000000"/>
              </w:rPr>
              <w:lastRenderedPageBreak/>
              <w:t>обструктивная легочная болезнь за период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3</w:t>
            </w:r>
            <w:r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C15C35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                        </w:t>
            </w:r>
            <w:r>
              <w:rPr>
                <w:rFonts w:ascii="Times New Roman" w:hAnsi="Times New Roman" w:cs="Times New Roman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796925</wp:posOffset>
                      </wp:positionH>
                      <wp:positionV relativeFrom="paragraph">
                        <wp:posOffset>233045</wp:posOffset>
                      </wp:positionV>
                      <wp:extent cx="402590" cy="7620"/>
                      <wp:effectExtent l="0" t="0" r="0" b="0"/>
                      <wp:wrapNone/>
                      <wp:docPr id="7" name="_x0000_s103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 bwMode="auto">
                              <a:xfrm>
                                <a:off x="0" y="0"/>
                                <a:ext cx="402590" cy="7620"/>
                                <a:chOff x="0" y="0"/>
                                <a:chExt cx="402590" cy="7620"/>
                              </a:xfrm>
                            </wpg:grpSpPr>
                            <wps:wsp>
                              <wps:cNvPr id="11" name="Полилиния 11"/>
                              <wps:cNvSpPr/>
                              <wps:spPr bwMode="auto">
                                <a:xfrm>
                                  <a:off x="0" y="0"/>
                                  <a:ext cx="402590" cy="7620"/>
                                </a:xfrm>
                                <a:custGeom>
                                  <a:avLst/>
                                  <a:gdLst>
                                    <a:gd name="gd0" fmla="val 65536"/>
                                    <a:gd name="gd1" fmla="val 99935"/>
                                    <a:gd name="gd2" fmla="val 99986"/>
                                    <a:gd name="gd3" fmla="val 0"/>
                                    <a:gd name="gd4" fmla="val 99986"/>
                                    <a:gd name="gd5" fmla="val 0"/>
                                    <a:gd name="gd6" fmla="val 0"/>
                                    <a:gd name="gd7" fmla="val 99935"/>
                                    <a:gd name="gd8" fmla="val 0"/>
                                    <a:gd name="gd9" fmla="+- gd7 0 0"/>
                                    <a:gd name="gd10" fmla="+- gd8 99986 0"/>
                                  </a:gdLst>
                                  <a:ahLst/>
                                  <a:cxnLst/>
                                  <a:rect l="0" t="0" r="r" b="b"/>
                                  <a:pathLst>
                                    <a:path w="100000" h="100000" extrusionOk="0">
                                      <a:moveTo>
                                        <a:pt x="gd1" y="gd2"/>
                                      </a:moveTo>
                                      <a:lnTo>
                                        <a:pt x="gd3" y="gd4"/>
                                      </a:lnTo>
                                      <a:lnTo>
                                        <a:pt x="gd5" y="gd6"/>
                                      </a:lnTo>
                                      <a:lnTo>
                                        <a:pt x="gd7" y="gd8"/>
                                      </a:lnTo>
                                      <a:lnTo>
                                        <a:pt x="gd9" y="gd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>
                                    <a:alpha val="0"/>
                                  </a:srgbClr>
                                </a:solidFill>
                                <a:ln>
                                  <a:noFill/>
                                </a:ln>
                              </wps:spPr>
                              <wps:bodyPr rot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a="http://schemas.openxmlformats.org/drawingml/2006/main">
                  <w:pict>
                    <v:group id="group 9" o:spid="_x0000_s0000" style="position:absolute;z-index:251661312;o:allowoverlap:true;o:allowincell:true;mso-position-horizontal-relative:text;margin-left:62.75pt;mso-position-horizontal:absolute;mso-position-vertical-relative:text;margin-top:18.35pt;mso-position-vertical:absolute;width:31.70pt;height:0.60pt;mso-wrap-distance-left:9.00pt;mso-wrap-distance-top:0.00pt;mso-wrap-distance-right:9.00pt;mso-wrap-distance-bottom:0.00pt;" coordorigin="0,0" coordsize="4025,76">
                      <v:shape id="shape 10" o:spid="_x0000_s10" style="position:absolute;left:0;top:0;width:4025;height:76;visibility:visible;" path="m99933,99984l0,99984l0,0l99933,0l99933,99984xe" coordsize="100000,100000" fillcolor="#000000" stroked="f">
                        <v:path textboxrect="0,0,100000,100000"/>
                        <v:fill opacity="100f"/>
                      </v:shape>
                    </v:group>
                  </w:pict>
                </mc:Fallback>
              </mc:AlternateContent>
            </w:r>
            <w:r>
              <w:rPr>
                <w:rFonts w:ascii="Times New Roman" w:hAnsi="Times New Roman" w:cs="Times New Roman"/>
              </w:rPr>
              <w:t>H</w:t>
            </w:r>
            <w:r>
              <w:rPr>
                <w:rFonts w:ascii="Times New Roman" w:hAnsi="Times New Roman" w:cs="Times New Roman"/>
                <w:color w:val="000000"/>
              </w:rPr>
              <w:t>дисп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DХОБЛ =     _______  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                      H вп       x  100%,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где: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Hдисп - число взрослых с установленным диагнозом хроническая обструктивная</w:t>
            </w:r>
            <w:r>
              <w:rPr>
                <w:rFonts w:ascii="Times New Roman" w:hAnsi="Times New Roman" w:cs="Times New Roman"/>
                <w:color w:val="000000"/>
              </w:rPr>
              <w:t xml:space="preserve"> болезнь легких, выявленным впервые при профилактическом медицинском осмотре или диспансеризации за период;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Hвп - число взрослых </w:t>
            </w:r>
            <w:r>
              <w:rPr>
                <w:rFonts w:ascii="Times New Roman" w:hAnsi="Times New Roman" w:cs="Times New Roman"/>
                <w:color w:val="000000"/>
              </w:rPr>
              <w:lastRenderedPageBreak/>
              <w:t>пациентов с впервые в жизни установленным диагнозом хроническая обструктивная болезнь легких за период.</w:t>
            </w:r>
          </w:p>
          <w:p w:rsidR="00C15C35" w:rsidRDefault="00C15C35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Коды МКБ: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J44 - Другая</w:t>
            </w:r>
            <w:r>
              <w:rPr>
                <w:rFonts w:ascii="Times New Roman" w:hAnsi="Times New Roman" w:cs="Times New Roman"/>
                <w:color w:val="000000"/>
              </w:rPr>
              <w:t xml:space="preserve"> хроническая обструктивная легочная болезнь: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J44.8 – Другая уточненная хроническая обструктивная легочная болезнь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J44.9 - Хроническая обструктивная легочная болезнь неуточненная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Процент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afd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Источником информации являются реестры, оказанной медицинской помощи з</w:t>
            </w:r>
            <w:r>
              <w:rPr>
                <w:rFonts w:ascii="Times New Roman" w:hAnsi="Times New Roman" w:cs="Times New Roman"/>
                <w:color w:val="000000"/>
              </w:rPr>
              <w:t>астрахованным лицам.</w:t>
            </w:r>
          </w:p>
          <w:p w:rsidR="00C15C35" w:rsidRDefault="00EC0FFE">
            <w:pPr>
              <w:pStyle w:val="afd"/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Отбор информации для расчета показателей осуществляется по полям реестра: </w:t>
            </w:r>
          </w:p>
          <w:p w:rsidR="00C15C35" w:rsidRDefault="00EC0FFE">
            <w:pPr>
              <w:pStyle w:val="afd"/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 xml:space="preserve">- дата окончания лечения; </w:t>
            </w:r>
          </w:p>
          <w:p w:rsidR="00C15C35" w:rsidRDefault="00EC0FFE">
            <w:pPr>
              <w:pStyle w:val="afd"/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- диагноз основной; </w:t>
            </w:r>
          </w:p>
          <w:p w:rsidR="00C15C35" w:rsidRDefault="00EC0FFE">
            <w:pPr>
              <w:pStyle w:val="afd"/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- впервые выявлено (основной); </w:t>
            </w:r>
          </w:p>
          <w:p w:rsidR="00C15C35" w:rsidRDefault="00EC0FFE">
            <w:pPr>
              <w:pStyle w:val="afd"/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- характер заболевания; </w:t>
            </w:r>
          </w:p>
          <w:p w:rsidR="00C15C35" w:rsidRDefault="00EC0FFE">
            <w:pPr>
              <w:pStyle w:val="afd"/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- цель посещения; </w:t>
            </w:r>
          </w:p>
          <w:p w:rsidR="00C15C35" w:rsidRDefault="00EC0FFE">
            <w:pPr>
              <w:pStyle w:val="afd"/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- дата рождения </w:t>
            </w:r>
          </w:p>
          <w:p w:rsidR="00C15C35" w:rsidRDefault="00C15C35">
            <w:pPr>
              <w:pStyle w:val="afd"/>
              <w:spacing w:before="0" w:after="0" w:line="288" w:lineRule="atLeas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C15C35" w:rsidTr="00EC0FFE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6.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Доля взрослых с установленным диагнозом сахарный диабет, выявленным впервые при профилактических медицинских осмотрах и диспансеризации за период, от общего числа взрослых пациентов с впервые в жизни установленным диагнозом сахарный диабет за период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719455</wp:posOffset>
                      </wp:positionH>
                      <wp:positionV relativeFrom="paragraph">
                        <wp:posOffset>242570</wp:posOffset>
                      </wp:positionV>
                      <wp:extent cx="431800" cy="9525"/>
                      <wp:effectExtent l="0" t="0" r="0" b="0"/>
                      <wp:wrapNone/>
                      <wp:docPr id="8" name="_x0000_s103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 bwMode="auto">
                              <a:xfrm>
                                <a:off x="0" y="0"/>
                                <a:ext cx="431799" cy="9525"/>
                                <a:chOff x="0" y="0"/>
                                <a:chExt cx="431799" cy="9525"/>
                              </a:xfrm>
                            </wpg:grpSpPr>
                            <wps:wsp>
                              <wps:cNvPr id="13" name="Полилиния 13"/>
                              <wps:cNvSpPr/>
                              <wps:spPr bwMode="auto">
                                <a:xfrm>
                                  <a:off x="0" y="0"/>
                                  <a:ext cx="431799" cy="9525"/>
                                </a:xfrm>
                                <a:custGeom>
                                  <a:avLst/>
                                  <a:gdLst>
                                    <a:gd name="gd0" fmla="val 65536"/>
                                    <a:gd name="gd1" fmla="val 99882"/>
                                    <a:gd name="gd2" fmla="val 96000"/>
                                    <a:gd name="gd3" fmla="val 0"/>
                                    <a:gd name="gd4" fmla="val 96000"/>
                                    <a:gd name="gd5" fmla="val 0"/>
                                    <a:gd name="gd6" fmla="val 0"/>
                                    <a:gd name="gd7" fmla="val 99882"/>
                                    <a:gd name="gd8" fmla="val 0"/>
                                    <a:gd name="gd9" fmla="+- gd7 0 0"/>
                                    <a:gd name="gd10" fmla="+- gd8 96000 0"/>
                                  </a:gdLst>
                                  <a:ahLst/>
                                  <a:cxnLst/>
                                  <a:rect l="0" t="0" r="r" b="b"/>
                                  <a:pathLst>
                                    <a:path w="100000" h="100000" extrusionOk="0">
                                      <a:moveTo>
                                        <a:pt x="gd1" y="gd2"/>
                                      </a:moveTo>
                                      <a:lnTo>
                                        <a:pt x="gd3" y="gd4"/>
                                      </a:lnTo>
                                      <a:lnTo>
                                        <a:pt x="gd5" y="gd6"/>
                                      </a:lnTo>
                                      <a:lnTo>
                                        <a:pt x="gd7" y="gd8"/>
                                      </a:lnTo>
                                      <a:lnTo>
                                        <a:pt x="gd9" y="gd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>
                                    <a:alpha val="0"/>
                                  </a:srgbClr>
                                </a:solidFill>
                                <a:ln>
                                  <a:noFill/>
                                </a:ln>
                              </wps:spPr>
                              <wps:bodyPr rot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a="http://schemas.openxmlformats.org/drawingml/2006/main">
                  <w:pict>
                    <v:group id="group 11" o:spid="_x0000_s0000" style="position:absolute;z-index:251662336;o:allowoverlap:true;o:allowincell:true;mso-position-horizontal-relative:text;margin-left:56.65pt;mso-position-horizontal:absolute;mso-position-vertical-relative:text;margin-top:19.10pt;mso-position-vertical:absolute;width:34.00pt;height:0.75pt;mso-wrap-distance-left:9.00pt;mso-wrap-distance-top:0.00pt;mso-wrap-distance-right:9.00pt;mso-wrap-distance-bottom:0.00pt;" coordorigin="0,0" coordsize="4317,95">
                      <v:shape id="shape 12" o:spid="_x0000_s12" style="position:absolute;left:0;top:0;width:4317;height:95;visibility:visible;" path="m99882,96000l0,96000l0,0l99882,0l99882,96000xe" coordsize="100000,100000" fillcolor="#000000" stroked="f">
                        <v:path textboxrect="0,0,100000,100000"/>
                        <v:fill opacity="100f"/>
                      </v:shape>
                    </v:group>
                  </w:pict>
                </mc:Fallback>
              </mc:AlternateContent>
            </w:r>
            <w:r>
              <w:rPr>
                <w:rFonts w:ascii="Times New Roman" w:hAnsi="Times New Roman" w:cs="Times New Roman"/>
                <w:color w:val="000000"/>
              </w:rPr>
              <w:t xml:space="preserve">                  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SD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ДИСП</w:t>
            </w:r>
          </w:p>
          <w:p w:rsidR="00C15C35" w:rsidRDefault="00EC0FFE">
            <w:pPr>
              <w:pStyle w:val="ConsPlusNormal"/>
              <w:tabs>
                <w:tab w:val="left" w:pos="282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D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СД =   ________________       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         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SD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ВП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b/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 xml:space="preserve"> x 100%,</w:t>
            </w:r>
          </w:p>
          <w:p w:rsidR="00C15C35" w:rsidRDefault="00C15C35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где: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sz w:val="32"/>
                <w:szCs w:val="32"/>
                <w:vertAlign w:val="subscript"/>
              </w:rPr>
              <w:t>SD</w:t>
            </w:r>
            <w:r>
              <w:rPr>
                <w:rFonts w:ascii="Times New Roman" w:hAnsi="Times New Roman" w:cs="Times New Roman"/>
                <w:color w:val="000000"/>
                <w:vertAlign w:val="subscript"/>
              </w:rPr>
              <w:t>ДИСП</w:t>
            </w:r>
            <w:r>
              <w:rPr>
                <w:rFonts w:ascii="Times New Roman" w:hAnsi="Times New Roman" w:cs="Times New Roman"/>
                <w:color w:val="000000"/>
              </w:rPr>
              <w:t xml:space="preserve"> - число взрослых с установленным диагнозом сахарный диабет, выявленным впервые при профилактическом медицинском осмотре и диспансеризации за пе</w:t>
            </w:r>
            <w:r>
              <w:rPr>
                <w:rFonts w:ascii="Times New Roman" w:hAnsi="Times New Roman" w:cs="Times New Roman"/>
                <w:color w:val="000000"/>
              </w:rPr>
              <w:t>риод;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sz w:val="32"/>
                <w:szCs w:val="32"/>
                <w:vertAlign w:val="subscript"/>
              </w:rPr>
              <w:t>SD</w:t>
            </w:r>
            <w:r>
              <w:rPr>
                <w:rFonts w:ascii="Times New Roman" w:hAnsi="Times New Roman" w:cs="Times New Roman"/>
                <w:color w:val="000000"/>
                <w:vertAlign w:val="subscript"/>
              </w:rPr>
              <w:t>ВП</w:t>
            </w:r>
            <w:r>
              <w:rPr>
                <w:rFonts w:ascii="Times New Roman" w:hAnsi="Times New Roman" w:cs="Times New Roman"/>
                <w:color w:val="000000"/>
              </w:rPr>
              <w:t xml:space="preserve"> - число взрослых пациентов с впервые в жизни установленным диагнозом сахарный диабет за период.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Коды МКБ: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E10-E14 – Сахарный диабет</w:t>
            </w:r>
          </w:p>
          <w:p w:rsidR="00C15C35" w:rsidRDefault="00C15C35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</w:p>
          <w:p w:rsidR="00C15C35" w:rsidRDefault="00C15C35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</w:p>
          <w:p w:rsidR="00C15C35" w:rsidRDefault="00C15C35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</w:p>
          <w:p w:rsidR="00C15C35" w:rsidRDefault="00C15C35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</w:p>
          <w:p w:rsidR="00C15C35" w:rsidRDefault="00C15C35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15C35" w:rsidRDefault="00EC0FFE">
            <w:pPr>
              <w:pStyle w:val="afd"/>
              <w:spacing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Процент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15C35" w:rsidRDefault="00EC0FFE">
            <w:pPr>
              <w:pStyle w:val="afd"/>
              <w:spacing w:before="0" w:after="0" w:line="288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Источником информации являются реестры, оказанной медицинской помощи застрахованным лицам. </w:t>
            </w:r>
          </w:p>
          <w:p w:rsidR="00C15C35" w:rsidRDefault="00EC0FFE">
            <w:pPr>
              <w:pStyle w:val="afd"/>
              <w:spacing w:before="0" w:beforeAutospacing="0" w:after="0" w:afterAutospacing="0" w:line="288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Отбор информации для расчета показателей осуществляется по полям реестра: </w:t>
            </w:r>
          </w:p>
          <w:p w:rsidR="00C15C35" w:rsidRDefault="00EC0FFE">
            <w:pPr>
              <w:pStyle w:val="afd"/>
              <w:spacing w:before="0" w:beforeAutospacing="0" w:after="0" w:afterAutospacing="0" w:line="288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дата окончания лечения; </w:t>
            </w:r>
          </w:p>
          <w:p w:rsidR="00C15C35" w:rsidRDefault="00EC0FFE">
            <w:pPr>
              <w:pStyle w:val="afd"/>
              <w:spacing w:before="0" w:beforeAutospacing="0" w:after="0" w:afterAutospacing="0" w:line="288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диагноз основной; </w:t>
            </w:r>
          </w:p>
          <w:p w:rsidR="00C15C35" w:rsidRDefault="00EC0FFE">
            <w:pPr>
              <w:pStyle w:val="afd"/>
              <w:spacing w:before="0" w:beforeAutospacing="0" w:after="0" w:afterAutospacing="0" w:line="288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впервые выявлено (основной); </w:t>
            </w:r>
          </w:p>
          <w:p w:rsidR="00C15C35" w:rsidRDefault="00EC0FFE">
            <w:pPr>
              <w:pStyle w:val="afd"/>
              <w:spacing w:before="0" w:beforeAutospacing="0" w:after="0" w:afterAutospacing="0" w:line="288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характер заболевания; </w:t>
            </w:r>
          </w:p>
          <w:p w:rsidR="00C15C35" w:rsidRDefault="00EC0FFE">
            <w:pPr>
              <w:pStyle w:val="afd"/>
              <w:spacing w:before="0" w:beforeAutospacing="0" w:after="0" w:afterAutospacing="0" w:line="288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цель посещения; </w:t>
            </w:r>
          </w:p>
          <w:p w:rsidR="00C15C35" w:rsidRDefault="00EC0FFE">
            <w:pPr>
              <w:pStyle w:val="afd"/>
              <w:spacing w:before="0" w:beforeAutospacing="0" w:after="0" w:afterAutospacing="0" w:line="288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дата рождения </w:t>
            </w:r>
          </w:p>
        </w:tc>
      </w:tr>
      <w:tr w:rsidR="00C15C35" w:rsidTr="00EC0FFE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Доля взрослых с подозрением на злокачественное новообразование органов дыхания, выявленным впервые при профилактическом медицинском осмотре </w:t>
            </w:r>
            <w:r>
              <w:rPr>
                <w:rFonts w:ascii="Times New Roman" w:hAnsi="Times New Roman" w:cs="Times New Roman"/>
                <w:color w:val="000000"/>
              </w:rPr>
              <w:lastRenderedPageBreak/>
              <w:t>или диспансеризации, от общего числа взрослых пациентов с подозрением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на злокачественное новообразование или впервые</w:t>
            </w:r>
            <w:r>
              <w:rPr>
                <w:rFonts w:ascii="Times New Roman" w:hAnsi="Times New Roman" w:cs="Times New Roman"/>
                <w:color w:val="000000"/>
              </w:rPr>
              <w:t xml:space="preserve"> в жизни установленным диагнозом злокачественное новообразование органов дыхания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noProof/>
              </w:rPr>
              <w:lastRenderedPageBreak/>
              <mc:AlternateContent>
                <mc:Choice Requires="wpg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671830</wp:posOffset>
                      </wp:positionH>
                      <wp:positionV relativeFrom="paragraph">
                        <wp:posOffset>239395</wp:posOffset>
                      </wp:positionV>
                      <wp:extent cx="658495" cy="9525"/>
                      <wp:effectExtent l="0" t="0" r="0" b="0"/>
                      <wp:wrapNone/>
                      <wp:docPr id="9" name="_x0000_s103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 bwMode="auto">
                              <a:xfrm>
                                <a:off x="0" y="0"/>
                                <a:ext cx="658495" cy="9525"/>
                                <a:chOff x="0" y="0"/>
                                <a:chExt cx="6584" cy="95"/>
                              </a:xfrm>
                            </wpg:grpSpPr>
                            <wps:wsp>
                              <wps:cNvPr id="15" name="Полилиния 15"/>
                              <wps:cNvSpPr/>
                              <wps:spPr bwMode="auto">
                                <a:xfrm>
                                  <a:off x="0" y="0"/>
                                  <a:ext cx="6584" cy="95"/>
                                </a:xfrm>
                                <a:custGeom>
                                  <a:avLst/>
                                  <a:gdLst>
                                    <a:gd name="gd0" fmla="val 65536"/>
                                    <a:gd name="gd1" fmla="val 99979"/>
                                    <a:gd name="gd2" fmla="val 95988"/>
                                    <a:gd name="gd3" fmla="val 0"/>
                                    <a:gd name="gd4" fmla="val 95988"/>
                                    <a:gd name="gd5" fmla="val 0"/>
                                    <a:gd name="gd6" fmla="val 0"/>
                                    <a:gd name="gd7" fmla="val 99979"/>
                                    <a:gd name="gd8" fmla="val 0"/>
                                    <a:gd name="gd9" fmla="+- gd7 0 0"/>
                                    <a:gd name="gd10" fmla="+- gd8 95988 0"/>
                                  </a:gdLst>
                                  <a:ahLst/>
                                  <a:cxnLst/>
                                  <a:rect l="0" t="0" r="r" b="b"/>
                                  <a:pathLst>
                                    <a:path w="100000" h="100000" extrusionOk="0">
                                      <a:moveTo>
                                        <a:pt x="gd1" y="gd2"/>
                                      </a:moveTo>
                                      <a:lnTo>
                                        <a:pt x="gd3" y="gd4"/>
                                      </a:lnTo>
                                      <a:lnTo>
                                        <a:pt x="gd5" y="gd6"/>
                                      </a:lnTo>
                                      <a:lnTo>
                                        <a:pt x="gd7" y="gd8"/>
                                      </a:lnTo>
                                      <a:lnTo>
                                        <a:pt x="gd9" y="gd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>
                                    <a:alpha val="0"/>
                                  </a:srgbClr>
                                </a:solidFill>
                                <a:ln>
                                  <a:noFill/>
                                </a:ln>
                              </wps:spPr>
                              <wps:bodyPr rot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a="http://schemas.openxmlformats.org/drawingml/2006/main">
                  <w:pict>
                    <v:group id="group 13" o:spid="_x0000_s0000" style="position:absolute;z-index:251663360;o:allowoverlap:true;o:allowincell:true;mso-position-horizontal-relative:text;margin-left:52.90pt;mso-position-horizontal:absolute;mso-position-vertical-relative:text;margin-top:18.85pt;mso-position-vertical:absolute;width:51.85pt;height:0.75pt;mso-wrap-distance-left:9.00pt;mso-wrap-distance-top:0.00pt;mso-wrap-distance-right:9.00pt;mso-wrap-distance-bottom:0.00pt;" coordorigin="0,0" coordsize="65,0">
                      <v:shape id="shape 14" o:spid="_x0000_s14" style="position:absolute;left:0;top:0;width:65;height:0;visibility:visible;" path="m99977,95986l0,95986l0,0l99977,0l99977,95986xe" coordsize="100000,100000" fillcolor="#000000" stroked="f">
                        <v:path textboxrect="0,0,100000,100000"/>
                        <v:fill opacity="100f"/>
                      </v:shape>
                    </v:group>
                  </w:pict>
                </mc:Fallback>
              </mc:AlternateContent>
            </w:r>
            <w:r>
              <w:rPr>
                <w:rFonts w:ascii="Times New Roman" w:hAnsi="Times New Roman" w:cs="Times New Roman"/>
                <w:color w:val="000000"/>
              </w:rPr>
              <w:t xml:space="preserve">                      ZNO диспд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D3НОД = _________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                    ZNOвпд</w:t>
            </w:r>
            <w:r>
              <w:rPr>
                <w:rFonts w:ascii="Times New Roman" w:hAnsi="Times New Roman" w:cs="Times New Roman"/>
                <w:color w:val="000000"/>
              </w:rPr>
              <w:tab/>
              <w:t xml:space="preserve"> x 100%,</w:t>
            </w:r>
          </w:p>
          <w:p w:rsidR="00C15C35" w:rsidRDefault="00C15C35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где:</w:t>
            </w:r>
          </w:p>
          <w:p w:rsidR="00C15C35" w:rsidRDefault="00C15C35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ZNOдиспд - число взрослых с подозрением на </w:t>
            </w:r>
            <w:r>
              <w:rPr>
                <w:rFonts w:ascii="Times New Roman" w:hAnsi="Times New Roman" w:cs="Times New Roman"/>
                <w:color w:val="000000"/>
              </w:rPr>
              <w:lastRenderedPageBreak/>
              <w:t>злокачественное новообразование орг</w:t>
            </w:r>
            <w:r>
              <w:rPr>
                <w:rFonts w:ascii="Times New Roman" w:hAnsi="Times New Roman" w:cs="Times New Roman"/>
                <w:color w:val="000000"/>
              </w:rPr>
              <w:t>анов дыхания, выявленным впервые при профилактическом медицинском осмотре или диспансеризации за период;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ZNOвпд - число взрослых пациентов с подозрением на злокачественное новообразование органов дыхания за период.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Коды МКБ: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C34.0 - Злокачественное новообр</w:t>
            </w:r>
            <w:r>
              <w:rPr>
                <w:rFonts w:ascii="Times New Roman" w:hAnsi="Times New Roman" w:cs="Times New Roman"/>
                <w:color w:val="000000"/>
              </w:rPr>
              <w:t>азование главных бронхов.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C34.1 - Злокачественное новообразование верхней доли, бронхов или легкого.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C34.2 - Злокачественное новообразование средней доли, бронхов или легкого.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C34.3 - Злокачественное новообразование нижней доли, бронхов или легкого.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C34.8 - Злокачественное новообразование бронхов или легкого, выходящее за пределы одной и более вышеуказанных локализаций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C34.9 - Злокачественное новообразование бронхов или легкого неуточненной локализации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Процент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afd"/>
              <w:spacing w:before="0" w:after="0" w:line="288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Расчет показателя осуществляется путем от</w:t>
            </w:r>
            <w:r>
              <w:rPr>
                <w:rFonts w:ascii="Times New Roman" w:hAnsi="Times New Roman" w:cs="Times New Roman"/>
              </w:rPr>
              <w:t xml:space="preserve">бора информации по полям реестров счетов у которых значение поля TYPE </w:t>
            </w:r>
            <w:r>
              <w:rPr>
                <w:rFonts w:ascii="Times New Roman" w:hAnsi="Times New Roman" w:cs="Times New Roman"/>
              </w:rPr>
              <w:lastRenderedPageBreak/>
              <w:t>(Тип реестра счетов) в соответствии со справочником SK017 находится в диапазоне "20 - 29" и 80 - 81 предусматривает заполнение поля реестра "Признак подозрения на ЗНО" значением "1". Дви</w:t>
            </w:r>
            <w:r>
              <w:rPr>
                <w:rFonts w:ascii="Times New Roman" w:hAnsi="Times New Roman" w:cs="Times New Roman"/>
              </w:rPr>
              <w:t>жение пациента отслеживается по реестрам счетов у которых значение поля TYPE (Тип реестра счетов) в соответствии со справочником SK017 "60";</w:t>
            </w:r>
          </w:p>
          <w:p w:rsidR="00C15C35" w:rsidRDefault="00EC0FFE">
            <w:pPr>
              <w:pStyle w:val="afd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диагноз основной, </w:t>
            </w:r>
          </w:p>
          <w:p w:rsidR="00C15C35" w:rsidRDefault="00EC0FFE">
            <w:pPr>
              <w:pStyle w:val="afd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характер основного заболевания </w:t>
            </w:r>
          </w:p>
          <w:p w:rsidR="00C15C35" w:rsidRDefault="00C15C35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C15C35" w:rsidTr="00EC0FFE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8.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Доля мужчин с подозрением на злокачественное новообразование предстательной железы, выявленным впервые при профилактическом медицинском осмотре или диспансеризации, от общего числа мужчин с подозрением на злокачественное новообразование или впервые в жизни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lastRenderedPageBreak/>
              <w:t>установленным злокачественным новообразованием предстательной железы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 xml:space="preserve">                        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SCmale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DCmale = ___________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873125</wp:posOffset>
                      </wp:positionH>
                      <wp:positionV relativeFrom="paragraph">
                        <wp:posOffset>-108584</wp:posOffset>
                      </wp:positionV>
                      <wp:extent cx="363220" cy="7620"/>
                      <wp:effectExtent l="0" t="0" r="0" b="0"/>
                      <wp:wrapNone/>
                      <wp:docPr id="10" name="_x0000_s103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 bwMode="auto">
                              <a:xfrm>
                                <a:off x="0" y="0"/>
                                <a:ext cx="363220" cy="7620"/>
                                <a:chOff x="0" y="0"/>
                                <a:chExt cx="363220" cy="7620"/>
                              </a:xfrm>
                            </wpg:grpSpPr>
                            <wps:wsp>
                              <wps:cNvPr id="17" name="Полилиния 17"/>
                              <wps:cNvSpPr/>
                              <wps:spPr bwMode="auto">
                                <a:xfrm>
                                  <a:off x="0" y="0"/>
                                  <a:ext cx="363220" cy="7620"/>
                                </a:xfrm>
                                <a:custGeom>
                                  <a:avLst/>
                                  <a:gdLst>
                                    <a:gd name="gd0" fmla="val 65536"/>
                                    <a:gd name="gd1" fmla="val 99859"/>
                                    <a:gd name="gd2" fmla="val 99986"/>
                                    <a:gd name="gd3" fmla="val 0"/>
                                    <a:gd name="gd4" fmla="val 99986"/>
                                    <a:gd name="gd5" fmla="val 0"/>
                                    <a:gd name="gd6" fmla="val 0"/>
                                    <a:gd name="gd7" fmla="val 99859"/>
                                    <a:gd name="gd8" fmla="val 0"/>
                                    <a:gd name="gd9" fmla="+- gd7 0 0"/>
                                    <a:gd name="gd10" fmla="+- gd8 99986 0"/>
                                  </a:gdLst>
                                  <a:ahLst/>
                                  <a:cxnLst/>
                                  <a:rect l="0" t="0" r="r" b="b"/>
                                  <a:pathLst>
                                    <a:path w="100000" h="100000" extrusionOk="0">
                                      <a:moveTo>
                                        <a:pt x="gd1" y="gd2"/>
                                      </a:moveTo>
                                      <a:lnTo>
                                        <a:pt x="gd3" y="gd4"/>
                                      </a:lnTo>
                                      <a:lnTo>
                                        <a:pt x="gd5" y="gd6"/>
                                      </a:lnTo>
                                      <a:lnTo>
                                        <a:pt x="gd7" y="gd8"/>
                                      </a:lnTo>
                                      <a:lnTo>
                                        <a:pt x="gd9" y="gd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>
                                    <a:alpha val="0"/>
                                  </a:srgbClr>
                                </a:solidFill>
                                <a:ln>
                                  <a:noFill/>
                                </a:ln>
                              </wps:spPr>
                              <wps:bodyPr rot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a="http://schemas.openxmlformats.org/drawingml/2006/main">
                  <w:pict>
                    <v:group id="group 15" o:spid="_x0000_s0000" style="position:absolute;z-index:251664384;o:allowoverlap:true;o:allowincell:true;mso-position-horizontal-relative:text;margin-left:68.75pt;mso-position-horizontal:absolute;mso-position-vertical-relative:text;margin-top:-8.55pt;mso-position-vertical:absolute;width:28.60pt;height:0.60pt;mso-wrap-distance-left:9.00pt;mso-wrap-distance-top:0.00pt;mso-wrap-distance-right:9.00pt;mso-wrap-distance-bottom:0.00pt;" coordorigin="0,0" coordsize="3632,76">
                      <v:shape id="shape 16" o:spid="_x0000_s16" style="position:absolute;left:0;top:0;width:3632;height:76;visibility:visible;" path="m99859,99984l0,99984l0,0l99859,0l99859,99984xe" coordsize="100000,100000" fillcolor="#000000" stroked="f">
                        <v:path textboxrect="0,0,100000,100000"/>
                        <v:fill opacity="100f"/>
                      </v:shape>
                    </v:group>
                  </w:pict>
                </mc:Fallback>
              </mc:AlternateConten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 xml:space="preserve">                     NCmale       x 100%,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</w:rPr>
              <w:t>где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: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sz w:val="32"/>
                <w:szCs w:val="32"/>
                <w:vertAlign w:val="subscript"/>
              </w:rPr>
              <w:t>S</w:t>
            </w:r>
            <w:r>
              <w:rPr>
                <w:rFonts w:ascii="Times New Roman" w:hAnsi="Times New Roman" w:cs="Times New Roman"/>
                <w:color w:val="000000"/>
                <w:vertAlign w:val="subscript"/>
              </w:rPr>
              <w:t>Cmale</w:t>
            </w:r>
            <w:r>
              <w:rPr>
                <w:rFonts w:ascii="Times New Roman" w:hAnsi="Times New Roman" w:cs="Times New Roman"/>
                <w:color w:val="000000"/>
              </w:rPr>
              <w:t xml:space="preserve"> - число мужчин с подозрением на злокачественное новообразование предстательной железы, выявленным впервые при профилактическом медицинском осмотре или диспансеризации за период;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sz w:val="32"/>
                <w:szCs w:val="32"/>
                <w:vertAlign w:val="subscript"/>
              </w:rPr>
              <w:t>N</w:t>
            </w:r>
            <w:r>
              <w:rPr>
                <w:rFonts w:ascii="Times New Roman" w:hAnsi="Times New Roman" w:cs="Times New Roman"/>
                <w:color w:val="000000"/>
                <w:vertAlign w:val="subscript"/>
              </w:rPr>
              <w:t>Cmale</w:t>
            </w:r>
            <w:r>
              <w:rPr>
                <w:rFonts w:ascii="Times New Roman" w:hAnsi="Times New Roman" w:cs="Times New Roman"/>
                <w:color w:val="000000"/>
              </w:rPr>
              <w:t xml:space="preserve"> - число мужчин с </w:t>
            </w:r>
            <w:r>
              <w:rPr>
                <w:rFonts w:ascii="Times New Roman" w:hAnsi="Times New Roman" w:cs="Times New Roman"/>
                <w:color w:val="000000"/>
              </w:rPr>
              <w:lastRenderedPageBreak/>
              <w:t>подозрением на злокачественное новообразование или вп</w:t>
            </w:r>
            <w:r>
              <w:rPr>
                <w:rFonts w:ascii="Times New Roman" w:hAnsi="Times New Roman" w:cs="Times New Roman"/>
                <w:color w:val="000000"/>
              </w:rPr>
              <w:t>ервые в жизни установленное злокачественное новообразование предстательной железы за период.</w:t>
            </w:r>
          </w:p>
          <w:p w:rsidR="00C15C35" w:rsidRDefault="00C15C35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Код МКБ: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C61 - Злокачественное новообразование предстательной железы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Процент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afd"/>
              <w:spacing w:before="0" w:after="0" w:line="288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Расчет показателя осуществляется путем отбора информации по полям реестров счетов у </w:t>
            </w:r>
            <w:r>
              <w:rPr>
                <w:rFonts w:ascii="Times New Roman" w:hAnsi="Times New Roman" w:cs="Times New Roman"/>
              </w:rPr>
              <w:t xml:space="preserve">которых значение поля TYPE (Тип реестра счетов) в соответствии со справочником SK017 находится в диапазоне "20 - 29" и 80 - 81 предусматривает заполнение поля </w:t>
            </w:r>
            <w:r>
              <w:rPr>
                <w:rFonts w:ascii="Times New Roman" w:hAnsi="Times New Roman" w:cs="Times New Roman"/>
              </w:rPr>
              <w:lastRenderedPageBreak/>
              <w:t>реестра "Признак подозрения на ЗНО" значением "1". Движение пациента отслеживается по реестрам сч</w:t>
            </w:r>
            <w:r>
              <w:rPr>
                <w:rFonts w:ascii="Times New Roman" w:hAnsi="Times New Roman" w:cs="Times New Roman"/>
              </w:rPr>
              <w:t>етов у которых значение поля TYPE (Тип реестра счетов) в соответствии со справочником SK017 "60";</w:t>
            </w:r>
          </w:p>
          <w:p w:rsidR="00C15C35" w:rsidRDefault="00EC0FFE">
            <w:pPr>
              <w:pStyle w:val="afd"/>
              <w:spacing w:before="0" w:beforeAutospacing="0" w:after="0" w:afterAutospacing="0" w:line="288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диагноз основной, </w:t>
            </w:r>
          </w:p>
          <w:p w:rsidR="00C15C35" w:rsidRDefault="00EC0FFE">
            <w:pPr>
              <w:pStyle w:val="afd"/>
              <w:spacing w:before="0" w:beforeAutospacing="0" w:after="0" w:afterAutospacing="0" w:line="288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характер основного заболевания </w:t>
            </w:r>
          </w:p>
          <w:p w:rsidR="00C15C35" w:rsidRDefault="00C15C35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C15C35" w:rsidTr="00EC0FFE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9.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Доля взрослых с болезнями системы кровообращения с высоким риском развития неблагоприятных сердечно-сосудистых событий (которые перенесли острое нарушение мозгового кровообращения, инфаркт миокарда, страдающих ишемической болезнью сердца в сочетании с фибр</w:t>
            </w:r>
            <w:r>
              <w:rPr>
                <w:rFonts w:ascii="Times New Roman" w:hAnsi="Times New Roman" w:cs="Times New Roman"/>
                <w:color w:val="000000"/>
              </w:rPr>
              <w:t xml:space="preserve">илляцией предсердий и хронической сердечной недостаточностью, а также которым выполнены аортокоронарное шунтирование, ангиопластика коронарных артерий со стентированием и катетерная абляция по поводу сердечно- </w:t>
            </w:r>
            <w:r>
              <w:rPr>
                <w:rFonts w:ascii="Times New Roman" w:hAnsi="Times New Roman" w:cs="Times New Roman"/>
                <w:color w:val="000000"/>
              </w:rPr>
              <w:lastRenderedPageBreak/>
              <w:t>сосудистых заболеваний), состоящих под диспанс</w:t>
            </w:r>
            <w:r>
              <w:rPr>
                <w:rFonts w:ascii="Times New Roman" w:hAnsi="Times New Roman" w:cs="Times New Roman"/>
                <w:color w:val="000000"/>
              </w:rPr>
              <w:t>ерным наблюдением, от общего числа взрослых пациентов с болезнями системы кровообращения с высоким риском развития неблагоприятных сердечно-сосудистых событий (которые перенесли острое нарушение мозгового кровообращения, инфаркт миокарда, страдающих ишемич</w:t>
            </w:r>
            <w:r>
              <w:rPr>
                <w:rFonts w:ascii="Times New Roman" w:hAnsi="Times New Roman" w:cs="Times New Roman"/>
                <w:color w:val="000000"/>
              </w:rPr>
              <w:t>еской болезнью сердца в сочетании с фибрилляцией предсердий и хронической сердечной недостаточностью, а также которым выполнены аортокоронарное шунтирование, ангиопластика коронарных артерий со стентированием и катетерная абляция по поводу сердечно- сосуди</w:t>
            </w:r>
            <w:r>
              <w:rPr>
                <w:rFonts w:ascii="Times New Roman" w:hAnsi="Times New Roman" w:cs="Times New Roman"/>
                <w:color w:val="000000"/>
              </w:rPr>
              <w:t>стых заболеваний)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  <w:u w:val="single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 xml:space="preserve">                         R </w:t>
            </w:r>
            <w:r>
              <w:rPr>
                <w:rFonts w:ascii="Times New Roman" w:hAnsi="Times New Roman" w:cs="Times New Roman"/>
                <w:color w:val="000000"/>
                <w:u w:val="single"/>
              </w:rPr>
              <w:t>дн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DNриск = _________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                     R  вп       x 100%,</w:t>
            </w:r>
          </w:p>
          <w:p w:rsidR="00C15C35" w:rsidRDefault="00C15C35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где: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Rдн - число взрослых с болезнями системы кровообращения с высоким риском развития неблагоприятных сердечно-сосудистых событий</w:t>
            </w:r>
            <w:r>
              <w:rPr>
                <w:rFonts w:ascii="Times New Roman" w:hAnsi="Times New Roman" w:cs="Times New Roman"/>
                <w:color w:val="000000"/>
              </w:rPr>
              <w:t xml:space="preserve"> (которые перенесли острое нарушение мозгового кровообращения, инфаркт миокарда, страдающих ишемической болезнью сердца в сочетании с фибрилляцией предсердий и хронической сердечной недостаточностью, а также которым выполнены аортокоронарное шунтирование, </w:t>
            </w:r>
            <w:r>
              <w:rPr>
                <w:rFonts w:ascii="Times New Roman" w:hAnsi="Times New Roman" w:cs="Times New Roman"/>
                <w:color w:val="000000"/>
              </w:rPr>
              <w:t>ангиопластика коронарных артерий со стентированием и катетерная абляция по поводу сердечно-сосудистых заболеваний), состоящих под диспансерным наблюдением.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Rвп - общее число взрослых пациентов с болезнями </w:t>
            </w:r>
            <w:r>
              <w:rPr>
                <w:rFonts w:ascii="Times New Roman" w:hAnsi="Times New Roman" w:cs="Times New Roman"/>
                <w:color w:val="000000"/>
              </w:rPr>
              <w:lastRenderedPageBreak/>
              <w:t>системы кровообращения с высоким риском развития не</w:t>
            </w:r>
            <w:r>
              <w:rPr>
                <w:rFonts w:ascii="Times New Roman" w:hAnsi="Times New Roman" w:cs="Times New Roman"/>
                <w:color w:val="000000"/>
              </w:rPr>
              <w:t>благоприятных сердечно-сосудистых событий (которые перенесли острое нарушение мозгового кровообращения, инфаркт миокарда, страдающих ишемической болезнью сердца в сочетании с фибрилляцией предсердий и хронической сердечной недостаточностью, а также которым</w:t>
            </w:r>
            <w:r>
              <w:rPr>
                <w:rFonts w:ascii="Times New Roman" w:hAnsi="Times New Roman" w:cs="Times New Roman"/>
                <w:color w:val="000000"/>
              </w:rPr>
              <w:t xml:space="preserve"> выполнены аортокоронарное шунтирование, ангиопластика коронарных артерий со стентированием и катетерная абляция по поводу сердечно-сосудистых заболеваний), обратившихся за медицинской помощью за период.</w:t>
            </w:r>
          </w:p>
          <w:p w:rsidR="00C15C35" w:rsidRDefault="00C15C35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Коды МКБ: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I60-I64 – Острое нарушение мозгового кров</w:t>
            </w:r>
            <w:r>
              <w:rPr>
                <w:rFonts w:ascii="Times New Roman" w:hAnsi="Times New Roman" w:cs="Times New Roman"/>
                <w:color w:val="000000"/>
              </w:rPr>
              <w:t>ообращения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I21 - I22 – Инфаркт миокарда I25.2 - Перенесенный в прошлом инфаркт миокарда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I25.8 - Другие формы хронической ишемической болезни сердца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I20-I25 + I48 + I50 – Ишемическая болезнь сердца + Фибрилляция и трепетание предсердий + Сердечная недостато</w:t>
            </w:r>
            <w:r>
              <w:rPr>
                <w:rFonts w:ascii="Times New Roman" w:hAnsi="Times New Roman" w:cs="Times New Roman"/>
                <w:color w:val="000000"/>
              </w:rPr>
              <w:t>чность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Z95.1 – Наличие аортокоронарного шунтового трансплантата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Z95.5 – Наличие коронарного ангиопластичного имплантата и трансплантата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Процент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Источником информации является информационный ресурс ТФОМС СК в части сведений о лицах, состоящих под диспансерным наблюдением.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Расчет показателя осуществляется путем отбора информации по полям реестра счетов у которых значение поля TYPE (Тип реестра счето</w:t>
            </w:r>
            <w:r>
              <w:rPr>
                <w:rFonts w:ascii="Times New Roman" w:hAnsi="Times New Roman" w:cs="Times New Roman"/>
                <w:color w:val="000000"/>
              </w:rPr>
              <w:t>в) в соответствии со справочником SK017 заполнен значениями "01", "10", "11", "40", "50", "70":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 дата окончания лечения;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 результат обращения;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 диагноз основной;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- диагноз сопутствующего </w:t>
            </w:r>
            <w:r>
              <w:rPr>
                <w:rFonts w:ascii="Times New Roman" w:hAnsi="Times New Roman" w:cs="Times New Roman"/>
                <w:color w:val="000000"/>
              </w:rPr>
              <w:lastRenderedPageBreak/>
              <w:t>заболевания;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 диагноз осложнения заболевания;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 диспансерное набл</w:t>
            </w:r>
            <w:r>
              <w:rPr>
                <w:rFonts w:ascii="Times New Roman" w:hAnsi="Times New Roman" w:cs="Times New Roman"/>
                <w:color w:val="000000"/>
              </w:rPr>
              <w:t>юдение</w:t>
            </w:r>
          </w:p>
        </w:tc>
      </w:tr>
      <w:tr w:rsidR="00C15C35" w:rsidTr="00EC0FFE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10.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10.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Доля лиц 18 лет и старше, состоявших под диспансерным наблюдением по поводу болезней системы </w:t>
            </w:r>
            <w:r>
              <w:rPr>
                <w:rFonts w:ascii="Times New Roman" w:hAnsi="Times New Roman" w:cs="Times New Roman"/>
                <w:color w:val="000000"/>
              </w:rPr>
              <w:lastRenderedPageBreak/>
              <w:t>кровообращения, госпитализированных в связи с обострениями или осложнениями болезней системы кровообращения, по поводу которых пациент состоит на д</w:t>
            </w:r>
            <w:r>
              <w:rPr>
                <w:rFonts w:ascii="Times New Roman" w:hAnsi="Times New Roman" w:cs="Times New Roman"/>
                <w:color w:val="000000"/>
              </w:rPr>
              <w:t>испансерном наблюдении, от всех лиц соответствующего возраста, состоявших на диспансерном наблюдении по поводу болезней системы кровообращения за период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 xml:space="preserve">                       </w:t>
            </w:r>
            <w:r>
              <w:rPr>
                <w:rFonts w:ascii="Times New Roman" w:hAnsi="Times New Roman" w:cs="Times New Roman"/>
                <w:color w:val="000000"/>
                <w:u w:val="single"/>
              </w:rPr>
              <w:t>DN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u w:val="single"/>
              </w:rPr>
              <w:t>БСКГ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DN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БСКГ =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b/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N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БСК </w:t>
            </w:r>
            <w:r>
              <w:rPr>
                <w:rFonts w:ascii="Times New Roman" w:hAnsi="Times New Roman" w:cs="Times New Roman"/>
                <w:color w:val="000000"/>
              </w:rPr>
              <w:t xml:space="preserve">        х   100%,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где: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sz w:val="32"/>
                <w:szCs w:val="32"/>
                <w:vertAlign w:val="subscript"/>
              </w:rPr>
              <w:t>N</w:t>
            </w:r>
            <w:r>
              <w:rPr>
                <w:rFonts w:ascii="Times New Roman" w:hAnsi="Times New Roman" w:cs="Times New Roman"/>
                <w:color w:val="000000"/>
                <w:vertAlign w:val="subscript"/>
              </w:rPr>
              <w:t>БСКГ</w:t>
            </w:r>
            <w:r>
              <w:rPr>
                <w:rFonts w:ascii="Times New Roman" w:hAnsi="Times New Roman" w:cs="Times New Roman"/>
                <w:color w:val="000000"/>
              </w:rPr>
              <w:t xml:space="preserve"> - число</w:t>
            </w:r>
            <w:r>
              <w:rPr>
                <w:rFonts w:ascii="Times New Roman" w:hAnsi="Times New Roman" w:cs="Times New Roman"/>
                <w:color w:val="000000"/>
              </w:rPr>
              <w:t xml:space="preserve"> взрослых, состоящих под диспансерным </w:t>
            </w:r>
            <w:r>
              <w:rPr>
                <w:rFonts w:ascii="Times New Roman" w:hAnsi="Times New Roman" w:cs="Times New Roman"/>
                <w:color w:val="000000"/>
              </w:rPr>
              <w:lastRenderedPageBreak/>
              <w:t>наблюдением по поводу болезней системы кровообращения, госпитализированных в связи с обострением или осложнением болезней системы кровообращения, по поводу которых пациент состоит на диспансерном наблюдении, за период.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sz w:val="32"/>
                <w:szCs w:val="32"/>
                <w:vertAlign w:val="subscript"/>
              </w:rPr>
              <w:t>N</w:t>
            </w:r>
            <w:r>
              <w:rPr>
                <w:rFonts w:ascii="Times New Roman" w:hAnsi="Times New Roman" w:cs="Times New Roman"/>
                <w:color w:val="000000"/>
                <w:vertAlign w:val="subscript"/>
              </w:rPr>
              <w:t>БСК</w:t>
            </w:r>
            <w:r>
              <w:rPr>
                <w:rFonts w:ascii="Times New Roman" w:hAnsi="Times New Roman" w:cs="Times New Roman"/>
                <w:color w:val="000000"/>
              </w:rPr>
              <w:t xml:space="preserve"> - число взрослых, состоящих под диспансерным наблюдении по поводу болезней системы кровообращения за период.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Коды МКБ: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I05 - I09 – Хронические ревматические болезни сердца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I10 - I15 – Болезни, характеризующиеся повышенным кровяным давлением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I20 - I25</w:t>
            </w:r>
            <w:r>
              <w:rPr>
                <w:rFonts w:ascii="Times New Roman" w:hAnsi="Times New Roman" w:cs="Times New Roman"/>
                <w:color w:val="000000"/>
              </w:rPr>
              <w:t xml:space="preserve"> – Ишемическая болезнь сердца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I26 – Легочная эмболия I27.0 – Первичная легочная гипертензия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I27.2 – Другая вторичная легочная гипертензия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I27.8 – Другие уточненные формы легочно-сердечной недостаточности I28 – Другие болезни легочных сосудов I33 – Острый и</w:t>
            </w:r>
            <w:r>
              <w:rPr>
                <w:rFonts w:ascii="Times New Roman" w:hAnsi="Times New Roman" w:cs="Times New Roman"/>
                <w:color w:val="000000"/>
              </w:rPr>
              <w:t xml:space="preserve"> подострый эндокардит I34 - I37 – Неревматические поражения митрального клапана, аортального клапана, трехстворчатого клапана, поражения клапана легочной артерии I38 - I39 – Эндокардит, клапан не уточнен, эндокардит и поражения клапанов сердца при болезнях</w:t>
            </w:r>
            <w:r>
              <w:rPr>
                <w:rFonts w:ascii="Times New Roman" w:hAnsi="Times New Roman" w:cs="Times New Roman"/>
                <w:color w:val="000000"/>
              </w:rPr>
              <w:t>, классифицированных в других рубриках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I40 – Острый миокардит I41 – Миокардит при болезнях, </w:t>
            </w:r>
            <w:r>
              <w:rPr>
                <w:rFonts w:ascii="Times New Roman" w:hAnsi="Times New Roman" w:cs="Times New Roman"/>
                <w:color w:val="000000"/>
              </w:rPr>
              <w:lastRenderedPageBreak/>
              <w:t>классифицированных в других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рубриках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I42 – Кардиомиопатия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I44 - I49 – Предсердно-желудочковая [атриовентрикулярная] блокада и блокада левой ножки пучка [Гиса]; друг</w:t>
            </w:r>
            <w:r>
              <w:rPr>
                <w:rFonts w:ascii="Times New Roman" w:hAnsi="Times New Roman" w:cs="Times New Roman"/>
                <w:color w:val="000000"/>
              </w:rPr>
              <w:t>ие нарушения проводимости; остановка сердца; пароксизмальная тахикардия; фибрилляция и трепетание предсердий; другие нарушения сердечного ритма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I50 – Сердечная недостаточность I51.0 - I51.2 – Дефект перегородки сердца приобретенный, разрыв сухожилий хорды,</w:t>
            </w:r>
            <w:r>
              <w:rPr>
                <w:rFonts w:ascii="Times New Roman" w:hAnsi="Times New Roman" w:cs="Times New Roman"/>
                <w:color w:val="000000"/>
              </w:rPr>
              <w:t xml:space="preserve"> не классифицированный в других рубриках, разрыв сосочковой мышцы, не классифицированный в других рубриках I51.4 – Миокардит неуточненный I67.8 – Другие уточненные поражения сосудов мозга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I69.0 - I69.4 – Последствия субарахноидального кровоизлияния, внутри</w:t>
            </w:r>
            <w:r>
              <w:rPr>
                <w:rFonts w:ascii="Times New Roman" w:hAnsi="Times New Roman" w:cs="Times New Roman"/>
                <w:color w:val="000000"/>
              </w:rPr>
              <w:t>черепного кровоизлияния, другого нетравматического внутричерепного кровоизлияния, последствия инфаркта мозга и инсульта, не уточненные как кровоизлияния или инфаркт мозга I71 – Аневризма и расслоение аорты I65.2 – Закупорка и стеноз сонной артерии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E78 – На</w:t>
            </w:r>
            <w:r>
              <w:rPr>
                <w:rFonts w:ascii="Times New Roman" w:hAnsi="Times New Roman" w:cs="Times New Roman"/>
                <w:color w:val="000000"/>
              </w:rPr>
              <w:t xml:space="preserve">рушения обмена липопротеинов и другие липидемии 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Q20 - Q28 – Врожденные аномалии [пороки развития] системы кровообращения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Z95.0 – Наличие </w:t>
            </w:r>
            <w:r>
              <w:rPr>
                <w:rFonts w:ascii="Times New Roman" w:hAnsi="Times New Roman" w:cs="Times New Roman"/>
                <w:color w:val="000000"/>
              </w:rPr>
              <w:lastRenderedPageBreak/>
              <w:t>искусственного водителя сердечного ритма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Z95.1 – Наличие аортокоронарного шунтового трансплантата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Z95.2 - Z95.4, Z95.8</w:t>
            </w:r>
            <w:r>
              <w:rPr>
                <w:rFonts w:ascii="Times New Roman" w:hAnsi="Times New Roman" w:cs="Times New Roman"/>
                <w:color w:val="000000"/>
              </w:rPr>
              <w:t>, Z95.9 – Наличие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протеза сердечного клапана, наличие ксеногенного</w:t>
            </w:r>
            <w:r>
              <w:rPr>
                <w:rFonts w:ascii="Times New Roman" w:hAnsi="Times New Roman" w:cs="Times New Roman"/>
                <w:color w:val="000000"/>
              </w:rPr>
              <w:t xml:space="preserve"> сердечного клапана, наличие другого заменителя сердечного клапана, наличие других сердечных и сосудистых имплантатов и трансплантатов, наличие сердечного и сосудистого имплантата и трансплантата неуточненных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Z95.5 – Наличие коронарного ангиопластичного им</w:t>
            </w:r>
            <w:r>
              <w:rPr>
                <w:rFonts w:ascii="Times New Roman" w:hAnsi="Times New Roman" w:cs="Times New Roman"/>
                <w:color w:val="000000"/>
              </w:rPr>
              <w:t>плантата трансплантата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Процент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Источником информации является информационный ресурс ТФОМС СК в части сведений о </w:t>
            </w:r>
            <w:r>
              <w:rPr>
                <w:rFonts w:ascii="Times New Roman" w:hAnsi="Times New Roman" w:cs="Times New Roman"/>
                <w:color w:val="000000"/>
              </w:rPr>
              <w:lastRenderedPageBreak/>
              <w:t>лицах, состоящих под диспансерным наблюдением.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Расчет показателя осуществляется путем отбора информации по полям реестра счетов у которых значен</w:t>
            </w:r>
            <w:r>
              <w:rPr>
                <w:rFonts w:ascii="Times New Roman" w:hAnsi="Times New Roman" w:cs="Times New Roman"/>
                <w:color w:val="000000"/>
              </w:rPr>
              <w:t>ие поля TYPE (Тип реестра счетов) в соответствии со справочником SK017 заполнен значениями "01", "10", "11", "40", "50", "70":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 дата окончания лечения;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 результат обращения;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 диагноз основной;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 диагноз сопутствующего заболевания;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 диагноз осложнения заболевания;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 диспансерное наблюдение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 характер заболевания;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 форма оказания медицинской помощи</w:t>
            </w:r>
          </w:p>
          <w:p w:rsidR="00C15C35" w:rsidRDefault="00C15C35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C15C35" w:rsidTr="00EC0FFE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11.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11.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Доля взрослых с болезнями системы кровообращения, в отношении которых установлено диспансерное наблюдение за период, от общего</w:t>
            </w:r>
            <w:r>
              <w:rPr>
                <w:rFonts w:ascii="Times New Roman" w:hAnsi="Times New Roman" w:cs="Times New Roman"/>
                <w:color w:val="000000"/>
              </w:rPr>
              <w:t xml:space="preserve"> числа взрослых пациентов с впервые в жизни установленным диагнозом болезни системы кровообращения за период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  <w:u w:val="single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                      </w:t>
            </w:r>
            <w:r>
              <w:rPr>
                <w:rFonts w:ascii="Times New Roman" w:hAnsi="Times New Roman" w:cs="Times New Roman"/>
                <w:color w:val="000000"/>
                <w:u w:val="single"/>
              </w:rPr>
              <w:t xml:space="preserve">  BSKдн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DNбск    =     BSK </w:t>
            </w:r>
            <w:r>
              <w:rPr>
                <w:rFonts w:ascii="Times New Roman" w:hAnsi="Times New Roman" w:cs="Times New Roman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65408" behindDoc="0" locked="0" layoutInCell="1" allowOverlap="1">
                      <wp:simplePos x="0" y="0"/>
                      <wp:positionH relativeFrom="column">
                        <wp:posOffset>913130</wp:posOffset>
                      </wp:positionH>
                      <wp:positionV relativeFrom="paragraph">
                        <wp:posOffset>-40639</wp:posOffset>
                      </wp:positionV>
                      <wp:extent cx="424180" cy="9525"/>
                      <wp:effectExtent l="0" t="0" r="0" b="0"/>
                      <wp:wrapNone/>
                      <wp:docPr id="11" name="_x0000_s104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 bwMode="auto">
                              <a:xfrm>
                                <a:off x="0" y="0"/>
                                <a:ext cx="424180" cy="9525"/>
                                <a:chOff x="0" y="0"/>
                                <a:chExt cx="424180" cy="9525"/>
                              </a:xfrm>
                            </wpg:grpSpPr>
                            <wps:wsp>
                              <wps:cNvPr id="19" name="Полилиния 19"/>
                              <wps:cNvSpPr/>
                              <wps:spPr bwMode="auto">
                                <a:xfrm>
                                  <a:off x="0" y="0"/>
                                  <a:ext cx="424180" cy="9525"/>
                                </a:xfrm>
                                <a:custGeom>
                                  <a:avLst/>
                                  <a:gdLst>
                                    <a:gd name="gd0" fmla="val 65536"/>
                                    <a:gd name="gd1" fmla="val 99880"/>
                                    <a:gd name="gd2" fmla="val 96000"/>
                                    <a:gd name="gd3" fmla="val 0"/>
                                    <a:gd name="gd4" fmla="val 96000"/>
                                    <a:gd name="gd5" fmla="val 0"/>
                                    <a:gd name="gd6" fmla="val 0"/>
                                    <a:gd name="gd7" fmla="val 99880"/>
                                    <a:gd name="gd8" fmla="val 0"/>
                                    <a:gd name="gd9" fmla="+- gd7 0 0"/>
                                    <a:gd name="gd10" fmla="+- gd8 96000 0"/>
                                  </a:gdLst>
                                  <a:ahLst/>
                                  <a:cxnLst/>
                                  <a:rect l="0" t="0" r="r" b="b"/>
                                  <a:pathLst>
                                    <a:path w="100000" h="100000" extrusionOk="0">
                                      <a:moveTo>
                                        <a:pt x="gd1" y="gd2"/>
                                      </a:moveTo>
                                      <a:lnTo>
                                        <a:pt x="gd3" y="gd4"/>
                                      </a:lnTo>
                                      <a:lnTo>
                                        <a:pt x="gd5" y="gd6"/>
                                      </a:lnTo>
                                      <a:lnTo>
                                        <a:pt x="gd7" y="gd8"/>
                                      </a:lnTo>
                                      <a:lnTo>
                                        <a:pt x="gd9" y="gd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>
                                    <a:alpha val="0"/>
                                  </a:srgbClr>
                                </a:solidFill>
                                <a:ln>
                                  <a:noFill/>
                                </a:ln>
                              </wps:spPr>
                              <wps:bodyPr rot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a="http://schemas.openxmlformats.org/drawingml/2006/main">
                  <w:pict>
                    <v:group id="group 17" o:spid="_x0000_s0000" style="position:absolute;z-index:251665408;o:allowoverlap:true;o:allowincell:true;mso-position-horizontal-relative:text;margin-left:71.90pt;mso-position-horizontal:absolute;mso-position-vertical-relative:text;margin-top:-3.20pt;mso-position-vertical:absolute;width:33.40pt;height:0.75pt;mso-wrap-distance-left:9.00pt;mso-wrap-distance-top:0.00pt;mso-wrap-distance-right:9.00pt;mso-wrap-distance-bottom:0.00pt;" coordorigin="0,0" coordsize="4241,95">
                      <v:shape id="shape 18" o:spid="_x0000_s18" style="position:absolute;left:0;top:0;width:4241;height:95;visibility:visible;" path="m99880,96000l0,96000l0,0l99880,0l99880,96000xe" coordsize="100000,100000" fillcolor="#000000" stroked="f">
                        <v:path textboxrect="0,0,100000,100000"/>
                        <v:fill opacity="100f"/>
                      </v:shape>
                    </v:group>
                  </w:pict>
                </mc:Fallback>
              </mc:AlternateContent>
            </w:r>
            <w:r>
              <w:rPr>
                <w:rFonts w:ascii="Times New Roman" w:hAnsi="Times New Roman" w:cs="Times New Roman"/>
                <w:color w:val="000000"/>
              </w:rPr>
              <w:t>вп         х 100%</w:t>
            </w:r>
          </w:p>
          <w:p w:rsidR="00C15C35" w:rsidRDefault="00C15C35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где: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BSKдн - число взрослых пациентов с болезнями системы </w:t>
            </w:r>
            <w:r>
              <w:rPr>
                <w:rFonts w:ascii="Times New Roman" w:hAnsi="Times New Roman" w:cs="Times New Roman"/>
                <w:color w:val="000000"/>
              </w:rPr>
              <w:t>кровообращения, в отношении которых установлено диспансерное наблюдение за период;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BSKвп - общее число взрослых пациентов с впервые в жизни установленным диагнозом болезни системы кровообращения за период.</w:t>
            </w:r>
          </w:p>
          <w:p w:rsidR="00C15C35" w:rsidRDefault="00C15C35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Коды МКБ: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I00 - I99 – Болезни системы кровообраще</w:t>
            </w:r>
            <w:r>
              <w:rPr>
                <w:rFonts w:ascii="Times New Roman" w:hAnsi="Times New Roman" w:cs="Times New Roman"/>
                <w:color w:val="000000"/>
              </w:rPr>
              <w:t>ния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Q20 - Q28 – Врожденные аномалии [пороки развития] системы кровообращения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Процент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Источником информации являются реестры, оказанной медицинской помощи застрахованным лицам.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Отбор информации для расчета показателей осуществляется по полям реестра: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 дата постановки на диспансерный учет;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 диагноз основной;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 возраст пациента;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 характер заболевания;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 впервые выявлено (основной);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 дата рождения.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Источником информации является информационный ресурс ТФОМС СК </w:t>
            </w:r>
            <w:r>
              <w:rPr>
                <w:rFonts w:ascii="Times New Roman" w:hAnsi="Times New Roman" w:cs="Times New Roman"/>
                <w:color w:val="000000"/>
              </w:rPr>
              <w:lastRenderedPageBreak/>
              <w:t>в части сведений о лицах, состоящих под ди</w:t>
            </w:r>
            <w:r>
              <w:rPr>
                <w:rFonts w:ascii="Times New Roman" w:hAnsi="Times New Roman" w:cs="Times New Roman"/>
                <w:color w:val="000000"/>
              </w:rPr>
              <w:t>спансерным наблюдением</w:t>
            </w:r>
          </w:p>
        </w:tc>
      </w:tr>
      <w:tr w:rsidR="00C15C35" w:rsidTr="00EC0FFE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12.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12.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Доля взрослых с установленным диагнозом хроническая обструктивная</w:t>
            </w:r>
            <w:r>
              <w:rPr>
                <w:rFonts w:ascii="Times New Roman" w:hAnsi="Times New Roman" w:cs="Times New Roman"/>
                <w:color w:val="000000"/>
              </w:rPr>
              <w:t xml:space="preserve"> болезнь легких, в отношении которых установлено диспансерное наблюдение за период, от общего числа взрослых пациентов с впервые в жизни установленным диагнозом хроническая обструктивная болезнь легких за период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  <w:u w:val="single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                      </w:t>
            </w:r>
            <w:r>
              <w:rPr>
                <w:rFonts w:ascii="Times New Roman" w:hAnsi="Times New Roman" w:cs="Times New Roman"/>
                <w:color w:val="000000"/>
                <w:u w:val="single"/>
              </w:rPr>
              <w:t xml:space="preserve"> H дн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DNхобл   </w:t>
            </w:r>
            <w:r>
              <w:rPr>
                <w:rFonts w:ascii="Times New Roman" w:hAnsi="Times New Roman" w:cs="Times New Roman"/>
                <w:color w:val="000000"/>
                <w:spacing w:val="-10"/>
              </w:rPr>
              <w:t>=</w:t>
            </w:r>
            <w:r>
              <w:rPr>
                <w:rFonts w:ascii="Times New Roman" w:hAnsi="Times New Roman" w:cs="Times New Roman"/>
                <w:color w:val="000000"/>
              </w:rPr>
              <w:t xml:space="preserve"> H </w:t>
            </w:r>
            <w:r>
              <w:rPr>
                <w:rFonts w:ascii="Times New Roman" w:hAnsi="Times New Roman" w:cs="Times New Roman"/>
                <w:color w:val="000000"/>
              </w:rPr>
              <w:t>вп        x 100,</w:t>
            </w:r>
            <w:r>
              <w:rPr>
                <w:rFonts w:ascii="Times New Roman" w:hAnsi="Times New Roman" w:cs="Times New Roman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66432" behindDoc="0" locked="0" layoutInCell="1" allowOverlap="1">
                      <wp:simplePos x="0" y="0"/>
                      <wp:positionH relativeFrom="column">
                        <wp:posOffset>1035050</wp:posOffset>
                      </wp:positionH>
                      <wp:positionV relativeFrom="paragraph">
                        <wp:posOffset>-40639</wp:posOffset>
                      </wp:positionV>
                      <wp:extent cx="262255" cy="9525"/>
                      <wp:effectExtent l="0" t="0" r="0" b="0"/>
                      <wp:wrapNone/>
                      <wp:docPr id="12" name="_x0000_s104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 bwMode="auto">
                              <a:xfrm>
                                <a:off x="0" y="0"/>
                                <a:ext cx="262255" cy="9525"/>
                                <a:chOff x="0" y="0"/>
                                <a:chExt cx="262255" cy="9525"/>
                              </a:xfrm>
                            </wpg:grpSpPr>
                            <wps:wsp>
                              <wps:cNvPr id="21" name="Полилиния 21"/>
                              <wps:cNvSpPr/>
                              <wps:spPr bwMode="auto">
                                <a:xfrm>
                                  <a:off x="0" y="0"/>
                                  <a:ext cx="262255" cy="9525"/>
                                </a:xfrm>
                                <a:custGeom>
                                  <a:avLst/>
                                  <a:gdLst>
                                    <a:gd name="gd0" fmla="val 65536"/>
                                    <a:gd name="gd1" fmla="val 99951"/>
                                    <a:gd name="gd2" fmla="val 96000"/>
                                    <a:gd name="gd3" fmla="val 0"/>
                                    <a:gd name="gd4" fmla="val 96000"/>
                                    <a:gd name="gd5" fmla="val 0"/>
                                    <a:gd name="gd6" fmla="val 0"/>
                                    <a:gd name="gd7" fmla="val 99951"/>
                                    <a:gd name="gd8" fmla="val 0"/>
                                    <a:gd name="gd9" fmla="+- gd7 0 0"/>
                                    <a:gd name="gd10" fmla="+- gd8 96000 0"/>
                                  </a:gdLst>
                                  <a:ahLst/>
                                  <a:cxnLst/>
                                  <a:rect l="0" t="0" r="r" b="b"/>
                                  <a:pathLst>
                                    <a:path w="100000" h="100000" extrusionOk="0">
                                      <a:moveTo>
                                        <a:pt x="gd1" y="gd2"/>
                                      </a:moveTo>
                                      <a:lnTo>
                                        <a:pt x="gd3" y="gd4"/>
                                      </a:lnTo>
                                      <a:lnTo>
                                        <a:pt x="gd5" y="gd6"/>
                                      </a:lnTo>
                                      <a:lnTo>
                                        <a:pt x="gd7" y="gd8"/>
                                      </a:lnTo>
                                      <a:lnTo>
                                        <a:pt x="gd9" y="gd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>
                                    <a:alpha val="0"/>
                                  </a:srgbClr>
                                </a:solidFill>
                                <a:ln>
                                  <a:noFill/>
                                </a:ln>
                              </wps:spPr>
                              <wps:bodyPr rot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a="http://schemas.openxmlformats.org/drawingml/2006/main">
                  <w:pict>
                    <v:group id="group 19" o:spid="_x0000_s0000" style="position:absolute;z-index:251666432;o:allowoverlap:true;o:allowincell:true;mso-position-horizontal-relative:text;margin-left:81.50pt;mso-position-horizontal:absolute;mso-position-vertical-relative:text;margin-top:-3.20pt;mso-position-vertical:absolute;width:20.65pt;height:0.75pt;mso-wrap-distance-left:9.00pt;mso-wrap-distance-top:0.00pt;mso-wrap-distance-right:9.00pt;mso-wrap-distance-bottom:0.00pt;" coordorigin="0,0" coordsize="2622,95">
                      <v:shape id="shape 20" o:spid="_x0000_s20" style="position:absolute;left:0;top:0;width:2622;height:95;visibility:visible;" path="m99949,96000l0,96000l0,0l99949,0l99949,96000xe" coordsize="100000,100000" fillcolor="#000000" stroked="f">
                        <v:path textboxrect="0,0,100000,100000"/>
                        <v:fill opacity="100f"/>
                      </v:shape>
                    </v:group>
                  </w:pict>
                </mc:Fallback>
              </mc:AlternateContent>
            </w:r>
          </w:p>
          <w:p w:rsidR="00C15C35" w:rsidRDefault="00C15C35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где: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Hдн - число взрослых пациентов с установленным диагнозом хроническая обструктивная болезнь легких, в отношении которых установлено диспансерное наблюдение за период;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Hвп - общее число взрослых пациентов с впервые в жизни установленн</w:t>
            </w:r>
            <w:r>
              <w:rPr>
                <w:rFonts w:ascii="Times New Roman" w:hAnsi="Times New Roman" w:cs="Times New Roman"/>
                <w:color w:val="000000"/>
              </w:rPr>
              <w:t>ым диагнозом хроническая обструктивная болезнь легких за период.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Коды МКБ: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J44 - Другая хроническая обструктивная легочная болезнь: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J44.8 – Другая уточненная хроническая обструктивная легочная болезнь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J44.9 - Хроническая обструктивная легочная болезнь неут</w:t>
            </w:r>
            <w:r>
              <w:rPr>
                <w:rFonts w:ascii="Times New Roman" w:hAnsi="Times New Roman" w:cs="Times New Roman"/>
                <w:color w:val="000000"/>
              </w:rPr>
              <w:t>очненная</w:t>
            </w:r>
          </w:p>
          <w:p w:rsidR="00C15C35" w:rsidRDefault="00C15C35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Процент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Источником информации являются реестры, оказанной медицинской помощи застрахованным лицам.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Отбор информации для расчета показателей осуществляется по полям реестра: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 дата постановки на диспансерный учет;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 диагноз основной;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 возраст пациента;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 характер заболевания;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 впервые выявлено (основной);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 дата рождения.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Источником информации является информационный ресурс ТФОМС СК в части сведений о лицах, состоящих под диспансерным наблюдением</w:t>
            </w:r>
          </w:p>
        </w:tc>
      </w:tr>
      <w:tr w:rsidR="00C15C35" w:rsidTr="00EC0FFE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13.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13.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Доля взрослых с установленным диагнозом сахарный диабет, в отношении которых установлено диспансерное наблюдение за период, от общего числа взрослых пациентов с впервые в жизни установленным диагнозом сахарный диабет за период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3</w:t>
            </w:r>
            <w:r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                          </w:t>
            </w:r>
            <w:r>
              <w:rPr>
                <w:rFonts w:ascii="Times New Roman" w:hAnsi="Times New Roman" w:cs="Times New Roman"/>
                <w:color w:val="000000"/>
              </w:rPr>
              <w:t>SD дн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67456" behindDoc="0" locked="0" layoutInCell="1" allowOverlap="1">
                      <wp:simplePos x="0" y="0"/>
                      <wp:positionH relativeFrom="column">
                        <wp:posOffset>923290</wp:posOffset>
                      </wp:positionH>
                      <wp:positionV relativeFrom="paragraph">
                        <wp:posOffset>-40639</wp:posOffset>
                      </wp:positionV>
                      <wp:extent cx="330835" cy="9525"/>
                      <wp:effectExtent l="0" t="0" r="0" b="0"/>
                      <wp:wrapNone/>
                      <wp:docPr id="13" name="_x0000_s104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 bwMode="auto">
                              <a:xfrm>
                                <a:off x="0" y="0"/>
                                <a:ext cx="330835" cy="9525"/>
                                <a:chOff x="0" y="0"/>
                                <a:chExt cx="330835" cy="9525"/>
                              </a:xfrm>
                            </wpg:grpSpPr>
                            <wps:wsp>
                              <wps:cNvPr id="23" name="Полилиния 23"/>
                              <wps:cNvSpPr/>
                              <wps:spPr bwMode="auto">
                                <a:xfrm>
                                  <a:off x="0" y="0"/>
                                  <a:ext cx="330835" cy="9525"/>
                                </a:xfrm>
                                <a:custGeom>
                                  <a:avLst/>
                                  <a:gdLst>
                                    <a:gd name="gd0" fmla="val 65536"/>
                                    <a:gd name="gd1" fmla="val 99961"/>
                                    <a:gd name="gd2" fmla="val 95988"/>
                                    <a:gd name="gd3" fmla="val 0"/>
                                    <a:gd name="gd4" fmla="val 95988"/>
                                    <a:gd name="gd5" fmla="val 0"/>
                                    <a:gd name="gd6" fmla="val 0"/>
                                    <a:gd name="gd7" fmla="val 99961"/>
                                    <a:gd name="gd8" fmla="val 0"/>
                                    <a:gd name="gd9" fmla="+- gd7 0 0"/>
                                    <a:gd name="gd10" fmla="+- gd8 95988 0"/>
                                  </a:gdLst>
                                  <a:ahLst/>
                                  <a:cxnLst/>
                                  <a:rect l="0" t="0" r="r" b="b"/>
                                  <a:pathLst>
                                    <a:path w="100000" h="100000" extrusionOk="0">
                                      <a:moveTo>
                                        <a:pt x="gd1" y="gd2"/>
                                      </a:moveTo>
                                      <a:lnTo>
                                        <a:pt x="gd3" y="gd4"/>
                                      </a:lnTo>
                                      <a:lnTo>
                                        <a:pt x="gd5" y="gd6"/>
                                      </a:lnTo>
                                      <a:lnTo>
                                        <a:pt x="gd7" y="gd8"/>
                                      </a:lnTo>
                                      <a:lnTo>
                                        <a:pt x="gd9" y="gd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>
                                    <a:alpha val="0"/>
                                  </a:srgbClr>
                                </a:solidFill>
                                <a:ln>
                                  <a:noFill/>
                                </a:ln>
                              </wps:spPr>
                              <wps:bodyPr rot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a="http://schemas.openxmlformats.org/drawingml/2006/main">
                  <w:pict>
                    <v:group id="group 21" o:spid="_x0000_s0000" style="position:absolute;z-index:251667456;o:allowoverlap:true;o:allowincell:true;mso-position-horizontal-relative:text;margin-left:72.70pt;mso-position-horizontal:absolute;mso-position-vertical-relative:text;margin-top:-3.20pt;mso-position-vertical:absolute;width:26.05pt;height:0.75pt;mso-wrap-distance-left:9.00pt;mso-wrap-distance-top:0.00pt;mso-wrap-distance-right:9.00pt;mso-wrap-distance-bottom:0.00pt;" coordorigin="0,0" coordsize="3308,95">
                      <v:shape id="shape 22" o:spid="_x0000_s22" style="position:absolute;left:0;top:0;width:3308;height:95;visibility:visible;" path="m99961,95986l0,95986l0,0l99961,0l99961,95986xe" coordsize="100000,100000" fillcolor="#000000" stroked="f">
                        <v:path textboxrect="0,0,100000,100000"/>
                        <v:fill opacity="100f"/>
                      </v:shape>
                    </v:group>
                  </w:pict>
                </mc:Fallback>
              </mc:AlternateContent>
            </w:r>
            <w:r>
              <w:rPr>
                <w:rFonts w:ascii="Times New Roman" w:hAnsi="Times New Roman" w:cs="Times New Roman"/>
                <w:color w:val="000000"/>
              </w:rPr>
              <w:t xml:space="preserve">       DN сд =  _____________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                        SDвп         x 100,</w:t>
            </w:r>
          </w:p>
          <w:p w:rsidR="00C15C35" w:rsidRDefault="00C15C35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где: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SDдн - число взрослых пациентов с установленным диагнозом сахарный диабет, в отношении которых установлено диспансерное наблюдение за период;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SDвп - общее число взрослы</w:t>
            </w:r>
            <w:r>
              <w:rPr>
                <w:rFonts w:ascii="Times New Roman" w:hAnsi="Times New Roman" w:cs="Times New Roman"/>
                <w:color w:val="000000"/>
              </w:rPr>
              <w:t xml:space="preserve">х пациентов с впервые в жизни </w:t>
            </w:r>
            <w:r>
              <w:rPr>
                <w:rFonts w:ascii="Times New Roman" w:hAnsi="Times New Roman" w:cs="Times New Roman"/>
                <w:color w:val="000000"/>
              </w:rPr>
              <w:lastRenderedPageBreak/>
              <w:t>установленным диагнозом сахарный диабет за период.</w:t>
            </w:r>
          </w:p>
          <w:p w:rsidR="00C15C35" w:rsidRDefault="00C15C35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Коды МКБ: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E10-E11 – Сахарный диабет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Процент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Источником информации являются реестры, оказанной медицинской помощи застрахованным лицам.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Отбор информации для расчета показателе</w:t>
            </w:r>
            <w:r>
              <w:rPr>
                <w:rFonts w:ascii="Times New Roman" w:hAnsi="Times New Roman" w:cs="Times New Roman"/>
                <w:color w:val="000000"/>
              </w:rPr>
              <w:t>й осуществляется по полям реестра: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- дата постановки на диспансерный учет;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 диагноз основной;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 возраст пациента;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 характер заболевания;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 впервые выявлено (основной);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 дата рождения.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Источником информации является информационный ресурс ТФОМС СК в части сведений о лицах, состоящих под диспансерным наблюдением</w:t>
            </w:r>
          </w:p>
        </w:tc>
      </w:tr>
      <w:tr w:rsidR="00C15C35" w:rsidTr="00EC0FFE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14.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14.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Доля взрослых, госпитализированных за период по экстренным показаниям в связи с обострением (декомпенсацией) состояний, </w:t>
            </w:r>
            <w:r>
              <w:rPr>
                <w:rFonts w:ascii="Times New Roman" w:hAnsi="Times New Roman" w:cs="Times New Roman"/>
                <w:color w:val="000000"/>
              </w:rPr>
              <w:t>по поводу которых пациент находится под диспансерным наблюдением, от общего числа взрослых пациентов, находящихся под диспансерным наблюдением за период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  <w:u w:val="single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                      O всего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Hвсего =    _________  x 100,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68480" behindDoc="0" locked="0" layoutInCell="1" allowOverlap="1">
                      <wp:simplePos x="0" y="0"/>
                      <wp:positionH relativeFrom="column">
                        <wp:posOffset>906780</wp:posOffset>
                      </wp:positionH>
                      <wp:positionV relativeFrom="paragraph">
                        <wp:posOffset>-33019</wp:posOffset>
                      </wp:positionV>
                      <wp:extent cx="422275" cy="7620"/>
                      <wp:effectExtent l="0" t="0" r="0" b="0"/>
                      <wp:wrapNone/>
                      <wp:docPr id="14" name="_x0000_s104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 bwMode="auto">
                              <a:xfrm>
                                <a:off x="0" y="0"/>
                                <a:ext cx="422275" cy="7620"/>
                                <a:chOff x="0" y="0"/>
                                <a:chExt cx="422275" cy="7620"/>
                              </a:xfrm>
                            </wpg:grpSpPr>
                            <wps:wsp>
                              <wps:cNvPr id="25" name="Полилиния 25"/>
                              <wps:cNvSpPr/>
                              <wps:spPr bwMode="auto">
                                <a:xfrm>
                                  <a:off x="0" y="0"/>
                                  <a:ext cx="422275" cy="7620"/>
                                </a:xfrm>
                                <a:custGeom>
                                  <a:avLst/>
                                  <a:gdLst>
                                    <a:gd name="gd0" fmla="val 65536"/>
                                    <a:gd name="gd1" fmla="val 99968"/>
                                    <a:gd name="gd2" fmla="val 100000"/>
                                    <a:gd name="gd3" fmla="val 0"/>
                                    <a:gd name="gd4" fmla="val 100000"/>
                                    <a:gd name="gd5" fmla="val 0"/>
                                    <a:gd name="gd6" fmla="val 0"/>
                                    <a:gd name="gd7" fmla="val 99968"/>
                                    <a:gd name="gd8" fmla="val 0"/>
                                    <a:gd name="gd9" fmla="+- gd7 0 0"/>
                                    <a:gd name="gd10" fmla="+- gd8 100000 0"/>
                                  </a:gdLst>
                                  <a:ahLst/>
                                  <a:cxnLst/>
                                  <a:rect l="0" t="0" r="r" b="b"/>
                                  <a:pathLst>
                                    <a:path w="100000" h="100000" extrusionOk="0">
                                      <a:moveTo>
                                        <a:pt x="gd1" y="gd2"/>
                                      </a:moveTo>
                                      <a:lnTo>
                                        <a:pt x="gd3" y="gd4"/>
                                      </a:lnTo>
                                      <a:lnTo>
                                        <a:pt x="gd5" y="gd6"/>
                                      </a:lnTo>
                                      <a:lnTo>
                                        <a:pt x="gd7" y="gd8"/>
                                      </a:lnTo>
                                      <a:lnTo>
                                        <a:pt x="gd9" y="gd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>
                                    <a:alpha val="0"/>
                                  </a:srgbClr>
                                </a:solidFill>
                                <a:ln>
                                  <a:noFill/>
                                </a:ln>
                              </wps:spPr>
                              <wps:bodyPr rot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a="http://schemas.openxmlformats.org/drawingml/2006/main">
                  <w:pict>
                    <v:group id="group 23" o:spid="_x0000_s0000" style="position:absolute;z-index:251668480;o:allowoverlap:true;o:allowincell:true;mso-position-horizontal-relative:text;margin-left:71.40pt;mso-position-horizontal:absolute;mso-position-vertical-relative:text;margin-top:-2.60pt;mso-position-vertical:absolute;width:33.25pt;height:0.60pt;mso-wrap-distance-left:9.00pt;mso-wrap-distance-top:0.00pt;mso-wrap-distance-right:9.00pt;mso-wrap-distance-bottom:0.00pt;" coordorigin="0,0" coordsize="4222,76">
                      <v:shape id="shape 24" o:spid="_x0000_s24" style="position:absolute;left:0;top:0;width:4222;height:76;visibility:visible;" path="m99968,100000l0,100000l0,0l99968,0l99968,100000xe" coordsize="100000,100000" fillcolor="#000000" stroked="f">
                        <v:path textboxrect="0,0,100000,100000"/>
                        <v:fill opacity="100f"/>
                      </v:shape>
                    </v:group>
                  </w:pict>
                </mc:Fallback>
              </mc:AlternateContent>
            </w:r>
            <w:r>
              <w:rPr>
                <w:rFonts w:ascii="Times New Roman" w:hAnsi="Times New Roman" w:cs="Times New Roman"/>
                <w:color w:val="000000"/>
              </w:rPr>
              <w:t xml:space="preserve">                      Dn всего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где: 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Oвсего - число взрослых пациентов, госпитализированных за период по экстренным показаниям в связи с обострением (декомпенсацией) состояний, по поводу которых пациент находится под диспансерным наблюдением;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Dnвсего - общее число взрослых пациентов, находящи</w:t>
            </w:r>
            <w:r>
              <w:rPr>
                <w:rFonts w:ascii="Times New Roman" w:hAnsi="Times New Roman" w:cs="Times New Roman"/>
                <w:color w:val="000000"/>
              </w:rPr>
              <w:t>хся под диспансерным наблюдением за период.</w:t>
            </w:r>
          </w:p>
          <w:p w:rsidR="00C15C35" w:rsidRDefault="00C15C35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Коды МКБ: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I05 - I09 – Хронические ревматические болезни сердца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I10 - I15 – Болезни, характеризующиеся повышенным кровяным давлением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I20 - I25 – Ишемическая болезнь сердца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I26 – Легочная эмболия I27.0 – </w:t>
            </w:r>
            <w:r>
              <w:rPr>
                <w:rFonts w:ascii="Times New Roman" w:hAnsi="Times New Roman" w:cs="Times New Roman"/>
                <w:color w:val="000000"/>
              </w:rPr>
              <w:lastRenderedPageBreak/>
              <w:t>Первичная легочная гипертензия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I27.2 – Другая вторичная легочная гипертензия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I27.8 – Другие уточненные формы легочно-сердечной недостаточности I28 – Другие болезни легочных сосудов I33 – Острый и подострый эндокардит I34 - I3</w:t>
            </w:r>
            <w:r>
              <w:rPr>
                <w:rFonts w:ascii="Times New Roman" w:hAnsi="Times New Roman" w:cs="Times New Roman"/>
                <w:color w:val="000000"/>
              </w:rPr>
              <w:t>7 – Неревматические поражения митрального клапана, аортального клапана, трехстворчатого клапана, поражения клапана легочной артерии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I38 - I39 – Эндокардит, клапан не уточнен, эндокардит и поражения клапанов сердца при болезнях, классифицированных в других </w:t>
            </w:r>
            <w:r>
              <w:rPr>
                <w:rFonts w:ascii="Times New Roman" w:hAnsi="Times New Roman" w:cs="Times New Roman"/>
                <w:color w:val="000000"/>
              </w:rPr>
              <w:t>рубриках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I40 – Острый миокардит I41 – Миокардит при болезнях, классифицированных в других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рубриках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I42 – Кардиомиопатия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I44 - I49 – Предсердно-желудочковая [атриовентрикулярная] блокада и блокада левой ножки пучка [Гиса]; другие нарушения проводимости; ост</w:t>
            </w:r>
            <w:r>
              <w:rPr>
                <w:rFonts w:ascii="Times New Roman" w:hAnsi="Times New Roman" w:cs="Times New Roman"/>
                <w:color w:val="000000"/>
              </w:rPr>
              <w:t>ановка сердца; пароксизмальная тахикардия; фибрилляция и трепетание предсердий; другие нарушения сердечного ритма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I50 – Сердечная недостаточность I51.0 - I51.2 – Дефект перегородки сердца приобретенный, разрыв сухожилий хорды, не классифицированный в други</w:t>
            </w:r>
            <w:r>
              <w:rPr>
                <w:rFonts w:ascii="Times New Roman" w:hAnsi="Times New Roman" w:cs="Times New Roman"/>
                <w:color w:val="000000"/>
              </w:rPr>
              <w:t>х рубриках, разрыв сосочковой мышцы, не классифицированный в других рубриках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I51.4 – Миокардит </w:t>
            </w:r>
            <w:r>
              <w:rPr>
                <w:rFonts w:ascii="Times New Roman" w:hAnsi="Times New Roman" w:cs="Times New Roman"/>
                <w:color w:val="000000"/>
              </w:rPr>
              <w:lastRenderedPageBreak/>
              <w:t>неуточненный I67.8 – Другие уточненные поражения сосудов мозга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I69.0 - I69.4 – Последствия субарахноидального кровоизлияния, внутричерепного кровоизлияния, друго</w:t>
            </w:r>
            <w:r>
              <w:rPr>
                <w:rFonts w:ascii="Times New Roman" w:hAnsi="Times New Roman" w:cs="Times New Roman"/>
                <w:color w:val="000000"/>
              </w:rPr>
              <w:t>го нетравматического внутричерепного кровоизлияния, последствия инфаркта мозга и инсульта, не уточненные как кровоизлияния или инфаркт мозга I71 – Аневризма и расслоение аорты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I65.2 – Закупорка и стеноз сонной артерии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E78 – Нарушения обмена липопротеинов </w:t>
            </w:r>
            <w:r>
              <w:rPr>
                <w:rFonts w:ascii="Times New Roman" w:hAnsi="Times New Roman" w:cs="Times New Roman"/>
                <w:color w:val="000000"/>
              </w:rPr>
              <w:t xml:space="preserve">и другие липидемии 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Q20 - Q28 – Врожденные аномалии (пороки развития) системы кровообращения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Z95.0 – Наличие искусственного водителя сердечного ритма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Z95.1 – Наличие аортокоронарного шунтового трансплантата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Z95.2 - Z95.4, Z95.8, Z95.9 – Наличие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протеза сер</w:t>
            </w:r>
            <w:r>
              <w:rPr>
                <w:rFonts w:ascii="Times New Roman" w:hAnsi="Times New Roman" w:cs="Times New Roman"/>
                <w:color w:val="000000"/>
              </w:rPr>
              <w:t>дечного клапана, наличие ксеногенного сердечного клапана, наличие другого заменителя сердечного клапана, наличие других сердечных и сосудистых имплантатов и трансплантатов, наличие сердечного и сосудистого имплантата и трансплантата неуточненных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Z95.5 – На</w:t>
            </w:r>
            <w:r>
              <w:rPr>
                <w:rFonts w:ascii="Times New Roman" w:hAnsi="Times New Roman" w:cs="Times New Roman"/>
                <w:color w:val="000000"/>
              </w:rPr>
              <w:t>личие коронарного ангиопластичного имплантата трансплантата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E10-E11 – Сахарный диабет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Процент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Источником информации является информационный ресурс ТФОМС СК в части сведений о лицах, состоящих под диспансерным наблюдением </w:t>
            </w:r>
            <w:r>
              <w:rPr>
                <w:rFonts w:ascii="Times New Roman" w:hAnsi="Times New Roman" w:cs="Times New Roman"/>
                <w:color w:val="000000"/>
              </w:rPr>
              <w:t xml:space="preserve">Источником информации являются реестры (стационар), оказанной медицинской помощи застрахованным лицам. 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Отбор информации для расчета показателей осуществляется по полям реестра: 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- дата окончания лечения; 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- диагноз основной; 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- диагноз сопутствующий; 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 д</w:t>
            </w:r>
            <w:r>
              <w:rPr>
                <w:rFonts w:ascii="Times New Roman" w:hAnsi="Times New Roman" w:cs="Times New Roman"/>
                <w:color w:val="000000"/>
              </w:rPr>
              <w:t xml:space="preserve">иагноз осложнений 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 xml:space="preserve">- характер заболевания; 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- форма оказания медицинской помощи </w:t>
            </w:r>
          </w:p>
          <w:p w:rsidR="00C15C35" w:rsidRDefault="00C15C35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C15C35" w:rsidTr="00EC0FFE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15.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15.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Доля взрослых, </w:t>
            </w:r>
            <w:r>
              <w:rPr>
                <w:rFonts w:ascii="Times New Roman" w:hAnsi="Times New Roman" w:cs="Times New Roman"/>
                <w:color w:val="000000"/>
              </w:rPr>
              <w:lastRenderedPageBreak/>
              <w:t>повторно госпитализированных з</w:t>
            </w:r>
            <w:r>
              <w:rPr>
                <w:rFonts w:ascii="Times New Roman" w:hAnsi="Times New Roman" w:cs="Times New Roman"/>
                <w:color w:val="000000"/>
              </w:rPr>
              <w:t>а период по причине заболеваний сердечно- сосудистой системы или их осложнений в течение года с момента предыдущей госпитализации, от общего числа взрослых, госпитализированных за период по причине заболеваний сердечно- сосудистой системы или их осложнений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 xml:space="preserve">    Pбск =   PH</w:t>
            </w:r>
            <w:r>
              <w:rPr>
                <w:rFonts w:ascii="Times New Roman" w:hAnsi="Times New Roman" w:cs="Times New Roman"/>
                <w:color w:val="000000"/>
                <w:u w:val="single"/>
              </w:rPr>
              <w:t xml:space="preserve">бск   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noProof/>
              </w:rPr>
              <w:lastRenderedPageBreak/>
              <mc:AlternateContent>
                <mc:Choice Requires="wpg">
                  <w:drawing>
                    <wp:anchor distT="0" distB="0" distL="114300" distR="114300" simplePos="0" relativeHeight="251669504" behindDoc="0" locked="0" layoutInCell="1" allowOverlap="1">
                      <wp:simplePos x="0" y="0"/>
                      <wp:positionH relativeFrom="column">
                        <wp:posOffset>895985</wp:posOffset>
                      </wp:positionH>
                      <wp:positionV relativeFrom="paragraph">
                        <wp:posOffset>-33019</wp:posOffset>
                      </wp:positionV>
                      <wp:extent cx="327660" cy="7620"/>
                      <wp:effectExtent l="0" t="0" r="0" b="0"/>
                      <wp:wrapNone/>
                      <wp:docPr id="15" name="_x0000_s104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 bwMode="auto">
                              <a:xfrm>
                                <a:off x="0" y="0"/>
                                <a:ext cx="327660" cy="7620"/>
                                <a:chOff x="0" y="0"/>
                                <a:chExt cx="327660" cy="7620"/>
                              </a:xfrm>
                            </wpg:grpSpPr>
                            <wps:wsp>
                              <wps:cNvPr id="27" name="Полилиния 27"/>
                              <wps:cNvSpPr/>
                              <wps:spPr bwMode="auto">
                                <a:xfrm>
                                  <a:off x="0" y="0"/>
                                  <a:ext cx="327660" cy="7620"/>
                                </a:xfrm>
                                <a:custGeom>
                                  <a:avLst/>
                                  <a:gdLst>
                                    <a:gd name="gd0" fmla="val 65536"/>
                                    <a:gd name="gd1" fmla="val 100000"/>
                                    <a:gd name="gd2" fmla="val 99986"/>
                                    <a:gd name="gd3" fmla="val 0"/>
                                    <a:gd name="gd4" fmla="val 99986"/>
                                    <a:gd name="gd5" fmla="val 0"/>
                                    <a:gd name="gd6" fmla="val 0"/>
                                    <a:gd name="gd7" fmla="val 100000"/>
                                    <a:gd name="gd8" fmla="val 0"/>
                                    <a:gd name="gd9" fmla="+- gd7 0 0"/>
                                    <a:gd name="gd10" fmla="+- gd8 99986 0"/>
                                  </a:gdLst>
                                  <a:ahLst/>
                                  <a:cxnLst/>
                                  <a:rect l="0" t="0" r="r" b="b"/>
                                  <a:pathLst>
                                    <a:path w="100000" h="100000" extrusionOk="0">
                                      <a:moveTo>
                                        <a:pt x="gd1" y="gd2"/>
                                      </a:moveTo>
                                      <a:lnTo>
                                        <a:pt x="gd3" y="gd4"/>
                                      </a:lnTo>
                                      <a:lnTo>
                                        <a:pt x="gd5" y="gd6"/>
                                      </a:lnTo>
                                      <a:lnTo>
                                        <a:pt x="gd7" y="gd8"/>
                                      </a:lnTo>
                                      <a:lnTo>
                                        <a:pt x="gd9" y="gd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>
                                    <a:alpha val="0"/>
                                  </a:srgbClr>
                                </a:solidFill>
                                <a:ln>
                                  <a:noFill/>
                                </a:ln>
                              </wps:spPr>
                              <wps:bodyPr rot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a="http://schemas.openxmlformats.org/drawingml/2006/main">
                  <w:pict>
                    <v:group id="group 25" o:spid="_x0000_s0000" style="position:absolute;z-index:251669504;o:allowoverlap:true;o:allowincell:true;mso-position-horizontal-relative:text;margin-left:70.55pt;mso-position-horizontal:absolute;mso-position-vertical-relative:text;margin-top:-2.60pt;mso-position-vertical:absolute;width:25.80pt;height:0.60pt;mso-wrap-distance-left:9.00pt;mso-wrap-distance-top:0.00pt;mso-wrap-distance-right:9.00pt;mso-wrap-distance-bottom:0.00pt;" coordorigin="0,0" coordsize="3276,76">
                      <v:shape id="shape 26" o:spid="_x0000_s26" style="position:absolute;left:0;top:0;width:3276;height:76;visibility:visible;" path="m100000,99984l0,99984l0,0l100000,0l100000,99984xe" coordsize="100000,100000" fillcolor="#000000" stroked="f">
                        <v:path textboxrect="0,0,100000,100000"/>
                        <v:fill opacity="100f"/>
                      </v:shape>
                    </v:group>
                  </w:pict>
                </mc:Fallback>
              </mc:AlternateContent>
            </w:r>
            <w:r>
              <w:rPr>
                <w:rFonts w:ascii="Times New Roman" w:hAnsi="Times New Roman" w:cs="Times New Roman"/>
                <w:color w:val="000000"/>
              </w:rPr>
              <w:t xml:space="preserve">                   Hбск       x 100,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где: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PHбск - число взрослых пациентов, повторно госпитализированных за период по причине заболеваний сердечно-сосудистой системы или их осложнений в течение года с момента предыдущей госпитализ</w:t>
            </w:r>
            <w:r>
              <w:rPr>
                <w:rFonts w:ascii="Times New Roman" w:hAnsi="Times New Roman" w:cs="Times New Roman"/>
                <w:color w:val="000000"/>
              </w:rPr>
              <w:t>ации;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Hбск - общее число взрослых пациентов, госпитализированных за период по причине заболеваний сердечно-сосудистой системы или их осложнений.</w:t>
            </w:r>
          </w:p>
          <w:p w:rsidR="00C15C35" w:rsidRDefault="00C15C35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Коды МКБ: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I00 - I99 – Болезни системы кровообращения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Q20 - Q28 – Врожденные аномалии [пороки развития] системы кровообращения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Процент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Источником </w:t>
            </w:r>
            <w:r>
              <w:rPr>
                <w:rFonts w:ascii="Times New Roman" w:hAnsi="Times New Roman" w:cs="Times New Roman"/>
                <w:color w:val="000000"/>
              </w:rPr>
              <w:lastRenderedPageBreak/>
              <w:t>информации являются реестры (стационар), оказанной медицинской помощи застрахованным лицам.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Отбор информации для расчета показателей осуществляется по полям реестра</w:t>
            </w:r>
            <w:r>
              <w:rPr>
                <w:rFonts w:ascii="Times New Roman" w:hAnsi="Times New Roman" w:cs="Times New Roman"/>
                <w:color w:val="000000"/>
              </w:rPr>
              <w:t>: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 дата начала лечения;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 диагноз основной;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 диагноз сопутствующий;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 диагноз осложнений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 характер заболевания;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 форма оказания медицинской помощи</w:t>
            </w:r>
          </w:p>
        </w:tc>
      </w:tr>
      <w:tr w:rsidR="00C15C35" w:rsidTr="00EC0FFE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16.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16.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Доля взрослых, находящихся под диспансерным наблюдением по поводу сахарного диабета, у которых впервые зарегистрированы осложнения за период (диабетическая ретинопатия, диабетическая стопа), от общего числа находящихся под диспансерным наблюдением по повод</w:t>
            </w:r>
            <w:r>
              <w:rPr>
                <w:rFonts w:ascii="Times New Roman" w:hAnsi="Times New Roman" w:cs="Times New Roman"/>
                <w:color w:val="000000"/>
              </w:rPr>
              <w:t>у сахарного диабета за период</w:t>
            </w:r>
            <w:r>
              <w:rPr>
                <w:rFonts w:ascii="Times New Roman" w:hAnsi="Times New Roman" w:cs="Times New Roman"/>
                <w:color w:val="000000"/>
                <w:vertAlign w:val="superscript"/>
              </w:rPr>
              <w:t>3</w:t>
            </w:r>
            <w:r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C15C35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  <w:u w:val="single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                  Osl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SDosl=____________ </w:t>
            </w:r>
            <w:r>
              <w:rPr>
                <w:rFonts w:ascii="Times New Roman" w:hAnsi="Times New Roman" w:cs="Times New Roman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70528" behindDoc="0" locked="0" layoutInCell="1" allowOverlap="1">
                      <wp:simplePos x="0" y="0"/>
                      <wp:positionH relativeFrom="column">
                        <wp:posOffset>999490</wp:posOffset>
                      </wp:positionH>
                      <wp:positionV relativeFrom="paragraph">
                        <wp:posOffset>-33019</wp:posOffset>
                      </wp:positionV>
                      <wp:extent cx="169545" cy="7620"/>
                      <wp:effectExtent l="0" t="0" r="0" b="0"/>
                      <wp:wrapNone/>
                      <wp:docPr id="16" name="_x0000_s105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 bwMode="auto">
                              <a:xfrm>
                                <a:off x="0" y="0"/>
                                <a:ext cx="169545" cy="7620"/>
                                <a:chOff x="0" y="0"/>
                                <a:chExt cx="169545" cy="7620"/>
                              </a:xfrm>
                            </wpg:grpSpPr>
                            <wps:wsp>
                              <wps:cNvPr id="29" name="Полилиния 29"/>
                              <wps:cNvSpPr/>
                              <wps:spPr bwMode="auto">
                                <a:xfrm>
                                  <a:off x="0" y="0"/>
                                  <a:ext cx="169545" cy="7620"/>
                                </a:xfrm>
                                <a:custGeom>
                                  <a:avLst/>
                                  <a:gdLst>
                                    <a:gd name="gd0" fmla="val 65536"/>
                                    <a:gd name="gd1" fmla="val 99773"/>
                                    <a:gd name="gd2" fmla="val 99986"/>
                                    <a:gd name="gd3" fmla="val 0"/>
                                    <a:gd name="gd4" fmla="val 99986"/>
                                    <a:gd name="gd5" fmla="val 0"/>
                                    <a:gd name="gd6" fmla="val 0"/>
                                    <a:gd name="gd7" fmla="val 99773"/>
                                    <a:gd name="gd8" fmla="val 0"/>
                                    <a:gd name="gd9" fmla="+- gd7 0 0"/>
                                    <a:gd name="gd10" fmla="+- gd8 99986 0"/>
                                  </a:gdLst>
                                  <a:ahLst/>
                                  <a:cxnLst/>
                                  <a:rect l="0" t="0" r="r" b="b"/>
                                  <a:pathLst>
                                    <a:path w="100000" h="100000" extrusionOk="0">
                                      <a:moveTo>
                                        <a:pt x="gd1" y="gd2"/>
                                      </a:moveTo>
                                      <a:lnTo>
                                        <a:pt x="gd3" y="gd4"/>
                                      </a:lnTo>
                                      <a:lnTo>
                                        <a:pt x="gd5" y="gd6"/>
                                      </a:lnTo>
                                      <a:lnTo>
                                        <a:pt x="gd7" y="gd8"/>
                                      </a:lnTo>
                                      <a:lnTo>
                                        <a:pt x="gd9" y="gd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>
                                    <a:alpha val="0"/>
                                  </a:srgbClr>
                                </a:solidFill>
                                <a:ln>
                                  <a:noFill/>
                                </a:ln>
                              </wps:spPr>
                              <wps:bodyPr rot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a="http://schemas.openxmlformats.org/drawingml/2006/main">
                  <w:pict>
                    <v:group id="group 27" o:spid="_x0000_s0000" style="position:absolute;z-index:251670528;o:allowoverlap:true;o:allowincell:true;mso-position-horizontal-relative:text;margin-left:78.70pt;mso-position-horizontal:absolute;mso-position-vertical-relative:text;margin-top:-2.60pt;mso-position-vertical:absolute;width:13.35pt;height:0.60pt;mso-wrap-distance-left:9.00pt;mso-wrap-distance-top:0.00pt;mso-wrap-distance-right:9.00pt;mso-wrap-distance-bottom:0.00pt;" coordorigin="0,0" coordsize="1695,76">
                      <v:shape id="shape 28" o:spid="_x0000_s28" style="position:absolute;left:0;top:0;width:1695;height:76;visibility:visible;" path="m99771,99984l0,99984l0,0l99771,0l99771,99984xe" coordsize="100000,100000" fillcolor="#000000" stroked="f">
                        <v:path textboxrect="0,0,100000,100000"/>
                        <v:fill opacity="100f"/>
                      </v:shape>
                    </v:group>
                  </w:pict>
                </mc:Fallback>
              </mc:AlternateContent>
            </w:r>
            <w:r>
              <w:rPr>
                <w:rFonts w:ascii="Times New Roman" w:hAnsi="Times New Roman" w:cs="Times New Roman"/>
                <w:color w:val="000000"/>
              </w:rPr>
              <w:t xml:space="preserve"> 100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                     SD</w:t>
            </w:r>
          </w:p>
          <w:p w:rsidR="00C15C35" w:rsidRDefault="00C15C35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где: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Osl</w:t>
            </w:r>
            <w:r>
              <w:rPr>
                <w:rFonts w:ascii="Times New Roman" w:hAnsi="Times New Roman" w:cs="Times New Roman"/>
                <w:color w:val="000000"/>
              </w:rPr>
              <w:t xml:space="preserve"> - число взрослых пациентов, находящихся под диспансерным наблюдением по поводу сахарного диабета, у которых впервые зарегистрированы осложнения за период (диабетическая ретинопатия, диабетическая стопа);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SD - общее число взрослых пациентов, находящихся по</w:t>
            </w:r>
            <w:r>
              <w:rPr>
                <w:rFonts w:ascii="Times New Roman" w:hAnsi="Times New Roman" w:cs="Times New Roman"/>
                <w:color w:val="000000"/>
              </w:rPr>
              <w:t>д диспансерным наблюдением по поводу сахарного диабета за период.</w:t>
            </w:r>
          </w:p>
          <w:p w:rsidR="00C15C35" w:rsidRDefault="00C15C35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Коды МКБ: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E10-E11 – Сахарный диабет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Процент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spacing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Источником информации является информационный ресурс ТФОМС СК в части сведений о лицах, состоящих под диспансерным наблюдением. </w:t>
            </w:r>
          </w:p>
          <w:p w:rsidR="00C15C35" w:rsidRDefault="00EC0FFE">
            <w:pPr>
              <w:spacing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Источником инфор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мации являются реестры, оказанной медицинской помощи застрахованным лицам. </w:t>
            </w:r>
          </w:p>
          <w:p w:rsidR="00C15C35" w:rsidRDefault="00EC0FFE">
            <w:pPr>
              <w:spacing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Отбор информации для расчета показателей осуществляется по полям реестра: </w:t>
            </w:r>
          </w:p>
          <w:p w:rsidR="00C15C35" w:rsidRDefault="00EC0FFE">
            <w:pPr>
              <w:spacing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дата окончания лечения; </w:t>
            </w:r>
          </w:p>
          <w:p w:rsidR="00C15C35" w:rsidRDefault="00EC0FFE">
            <w:pPr>
              <w:spacing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диагноз основной; </w:t>
            </w:r>
          </w:p>
          <w:p w:rsidR="00C15C35" w:rsidRDefault="00EC0FFE">
            <w:pPr>
              <w:spacing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диагноз сопутствующий </w:t>
            </w:r>
          </w:p>
          <w:p w:rsidR="00C15C35" w:rsidRDefault="00EC0FFE">
            <w:pPr>
              <w:spacing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впервые выявлено (основной); </w:t>
            </w:r>
          </w:p>
          <w:p w:rsidR="00C15C35" w:rsidRDefault="00EC0FFE">
            <w:pPr>
              <w:spacing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характер заболевания; </w:t>
            </w:r>
          </w:p>
          <w:p w:rsidR="00C15C35" w:rsidRDefault="00EC0FFE">
            <w:pPr>
              <w:spacing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цель посещения </w:t>
            </w:r>
          </w:p>
          <w:p w:rsidR="00C15C35" w:rsidRDefault="00C15C35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C15C35" w:rsidTr="00EC0FFE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17.</w:t>
            </w:r>
          </w:p>
        </w:tc>
        <w:tc>
          <w:tcPr>
            <w:tcW w:w="99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Детское население (от 0 до 17 лет включительно)</w:t>
            </w:r>
          </w:p>
        </w:tc>
      </w:tr>
      <w:tr w:rsidR="00C15C35" w:rsidTr="00EC0FFE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17.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Охват вакцинацией детей в рамках Национального календаря прививок</w:t>
            </w: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  <w:u w:val="single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                    Fd</w:t>
            </w:r>
            <w:r>
              <w:rPr>
                <w:rFonts w:ascii="Times New Roman" w:hAnsi="Times New Roman" w:cs="Times New Roman"/>
                <w:color w:val="000000"/>
                <w:u w:val="single"/>
              </w:rPr>
              <w:t>нац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Vdнац = __________      x 100,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71552" behindDoc="0" locked="0" layoutInCell="1" allowOverlap="1">
                      <wp:simplePos x="0" y="0"/>
                      <wp:positionH relativeFrom="column">
                        <wp:posOffset>938530</wp:posOffset>
                      </wp:positionH>
                      <wp:positionV relativeFrom="paragraph">
                        <wp:posOffset>-33019</wp:posOffset>
                      </wp:positionV>
                      <wp:extent cx="326390" cy="7620"/>
                      <wp:effectExtent l="0" t="0" r="0" b="0"/>
                      <wp:wrapNone/>
                      <wp:docPr id="17" name="_x0000_s105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 bwMode="auto">
                              <a:xfrm>
                                <a:off x="0" y="0"/>
                                <a:ext cx="326390" cy="7620"/>
                                <a:chOff x="0" y="0"/>
                                <a:chExt cx="326390" cy="7620"/>
                              </a:xfrm>
                            </wpg:grpSpPr>
                            <wps:wsp>
                              <wps:cNvPr id="31" name="Полилиния 31"/>
                              <wps:cNvSpPr/>
                              <wps:spPr bwMode="auto">
                                <a:xfrm>
                                  <a:off x="0" y="0"/>
                                  <a:ext cx="326390" cy="7620"/>
                                </a:xfrm>
                                <a:custGeom>
                                  <a:avLst/>
                                  <a:gdLst>
                                    <a:gd name="gd0" fmla="val 65536"/>
                                    <a:gd name="gd1" fmla="val 99921"/>
                                    <a:gd name="gd2" fmla="val 100000"/>
                                    <a:gd name="gd3" fmla="val 0"/>
                                    <a:gd name="gd4" fmla="val 100000"/>
                                    <a:gd name="gd5" fmla="val 0"/>
                                    <a:gd name="gd6" fmla="val 0"/>
                                    <a:gd name="gd7" fmla="val 99921"/>
                                    <a:gd name="gd8" fmla="val 0"/>
                                    <a:gd name="gd9" fmla="+- gd7 0 0"/>
                                    <a:gd name="gd10" fmla="+- gd8 100000 0"/>
                                  </a:gdLst>
                                  <a:ahLst/>
                                  <a:cxnLst/>
                                  <a:rect l="0" t="0" r="r" b="b"/>
                                  <a:pathLst>
                                    <a:path w="100000" h="100000" extrusionOk="0">
                                      <a:moveTo>
                                        <a:pt x="gd1" y="gd2"/>
                                      </a:moveTo>
                                      <a:lnTo>
                                        <a:pt x="gd3" y="gd4"/>
                                      </a:lnTo>
                                      <a:lnTo>
                                        <a:pt x="gd5" y="gd6"/>
                                      </a:lnTo>
                                      <a:lnTo>
                                        <a:pt x="gd7" y="gd8"/>
                                      </a:lnTo>
                                      <a:lnTo>
                                        <a:pt x="gd9" y="gd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>
                                    <a:alpha val="0"/>
                                  </a:srgbClr>
                                </a:solidFill>
                                <a:ln>
                                  <a:noFill/>
                                </a:ln>
                              </wps:spPr>
                              <wps:bodyPr rot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a="http://schemas.openxmlformats.org/drawingml/2006/main">
                  <w:pict>
                    <v:group id="group 29" o:spid="_x0000_s0000" style="position:absolute;z-index:251671552;o:allowoverlap:true;o:allowincell:true;mso-position-horizontal-relative:text;margin-left:73.90pt;mso-position-horizontal:absolute;mso-position-vertical-relative:text;margin-top:-2.60pt;mso-position-vertical:absolute;width:25.70pt;height:0.60pt;mso-wrap-distance-left:9.00pt;mso-wrap-distance-top:0.00pt;mso-wrap-distance-right:9.00pt;mso-wrap-distance-bottom:0.00pt;" coordorigin="0,0" coordsize="3263,76">
                      <v:shape id="shape 30" o:spid="_x0000_s30" style="position:absolute;left:0;top:0;width:3263;height:76;visibility:visible;" path="m99919,100000l0,100000l0,0l99919,0l99919,100000xe" coordsize="100000,100000" fillcolor="#000000" stroked="f">
                        <v:path textboxrect="0,0,100000,100000"/>
                        <v:fill opacity="100f"/>
                      </v:shape>
                    </v:group>
                  </w:pict>
                </mc:Fallback>
              </mc:AlternateContent>
            </w:r>
            <w:r>
              <w:rPr>
                <w:rFonts w:ascii="Times New Roman" w:hAnsi="Times New Roman" w:cs="Times New Roman"/>
                <w:color w:val="000000"/>
              </w:rPr>
              <w:t xml:space="preserve">                    Pd </w:t>
            </w:r>
            <w:r>
              <w:rPr>
                <w:rFonts w:ascii="Times New Roman" w:hAnsi="Times New Roman" w:cs="Times New Roman"/>
                <w:color w:val="000000"/>
              </w:rPr>
              <w:t>нац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где: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Fdнац - фактическое число вакцинированных детей в рамках Национального календаря прививок в отчетном периоде;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Pdнац - число детей соответствующего возраста (согласно Национальному календарю прививок) на начало отчетного периода.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Процент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Источником информации являются данные министерства здравоохранения Ставропольского края, предоставляемые в электронной форме, в виде файла, установленного ТФОМС СК формата</w:t>
            </w:r>
          </w:p>
        </w:tc>
      </w:tr>
      <w:tr w:rsidR="00C15C35" w:rsidTr="00EC0FFE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19.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Доля детей, в отношении которых установлено диспансерное наблюдение по пово</w:t>
            </w:r>
            <w:r>
              <w:rPr>
                <w:rFonts w:ascii="Times New Roman" w:hAnsi="Times New Roman" w:cs="Times New Roman"/>
                <w:color w:val="000000"/>
              </w:rPr>
              <w:t>ду болезней костно-мышечной системы и соединительной ткани за период, от общего числа детей с впервые в жизни установленными диагнозами болезней костно-мышечной системы и соединительной ткани за период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3</w:t>
            </w:r>
            <w:r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tabs>
                <w:tab w:val="center" w:pos="1851"/>
                <w:tab w:val="left" w:pos="2250"/>
              </w:tabs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                   Cdkms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72576" behindDoc="0" locked="0" layoutInCell="1" allowOverlap="1">
                      <wp:simplePos x="0" y="0"/>
                      <wp:positionH relativeFrom="column">
                        <wp:posOffset>935990</wp:posOffset>
                      </wp:positionH>
                      <wp:positionV relativeFrom="paragraph">
                        <wp:posOffset>-33019</wp:posOffset>
                      </wp:positionV>
                      <wp:extent cx="349250" cy="7620"/>
                      <wp:effectExtent l="0" t="0" r="0" b="0"/>
                      <wp:wrapNone/>
                      <wp:docPr id="18" name="_x0000_s105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 bwMode="auto">
                              <a:xfrm>
                                <a:off x="0" y="0"/>
                                <a:ext cx="349250" cy="7620"/>
                                <a:chOff x="0" y="0"/>
                                <a:chExt cx="349250" cy="7620"/>
                              </a:xfrm>
                            </wpg:grpSpPr>
                            <wps:wsp>
                              <wps:cNvPr id="33" name="Полилиния 33"/>
                              <wps:cNvSpPr/>
                              <wps:spPr bwMode="auto">
                                <a:xfrm>
                                  <a:off x="0" y="0"/>
                                  <a:ext cx="349250" cy="7620"/>
                                </a:xfrm>
                                <a:custGeom>
                                  <a:avLst/>
                                  <a:gdLst>
                                    <a:gd name="gd0" fmla="val 65536"/>
                                    <a:gd name="gd1" fmla="val 99926"/>
                                    <a:gd name="gd2" fmla="val 99986"/>
                                    <a:gd name="gd3" fmla="val 0"/>
                                    <a:gd name="gd4" fmla="val 99986"/>
                                    <a:gd name="gd5" fmla="val 0"/>
                                    <a:gd name="gd6" fmla="val 0"/>
                                    <a:gd name="gd7" fmla="val 99926"/>
                                    <a:gd name="gd8" fmla="val 0"/>
                                    <a:gd name="gd9" fmla="+- gd7 0 0"/>
                                    <a:gd name="gd10" fmla="+- gd8 99986 0"/>
                                  </a:gdLst>
                                  <a:ahLst/>
                                  <a:cxnLst/>
                                  <a:rect l="0" t="0" r="r" b="b"/>
                                  <a:pathLst>
                                    <a:path w="100000" h="100000" extrusionOk="0">
                                      <a:moveTo>
                                        <a:pt x="gd1" y="gd2"/>
                                      </a:moveTo>
                                      <a:lnTo>
                                        <a:pt x="gd3" y="gd4"/>
                                      </a:lnTo>
                                      <a:lnTo>
                                        <a:pt x="gd5" y="gd6"/>
                                      </a:lnTo>
                                      <a:lnTo>
                                        <a:pt x="gd7" y="gd8"/>
                                      </a:lnTo>
                                      <a:lnTo>
                                        <a:pt x="gd9" y="gd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>
                                    <a:alpha val="0"/>
                                  </a:srgbClr>
                                </a:solidFill>
                                <a:ln>
                                  <a:noFill/>
                                </a:ln>
                              </wps:spPr>
                              <wps:bodyPr rot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a="http://schemas.openxmlformats.org/drawingml/2006/main">
                  <w:pict>
                    <v:group id="group 31" o:spid="_x0000_s0000" style="position:absolute;z-index:251672576;o:allowoverlap:true;o:allowincell:true;mso-position-horizontal-relative:text;margin-left:73.70pt;mso-position-horizontal:absolute;mso-position-vertical-relative:text;margin-top:-2.60pt;mso-position-vertical:absolute;width:27.50pt;height:0.60pt;mso-wrap-distance-left:9.00pt;mso-wrap-distance-top:0.00pt;mso-wrap-distance-right:9.00pt;mso-wrap-distance-bottom:0.00pt;" coordorigin="0,0" coordsize="3492,76">
                      <v:shape id="shape 32" o:spid="_x0000_s32" style="position:absolute;left:0;top:0;width:3492;height:76;visibility:visible;" path="m99926,99984l0,99984l0,0l99926,0l99926,99984xe" coordsize="100000,100000" fillcolor="#000000" stroked="f">
                        <v:path textboxrect="0,0,100000,100000"/>
                        <v:fill opacity="100f"/>
                      </v:shape>
                    </v:group>
                  </w:pict>
                </mc:Fallback>
              </mc:AlternateContent>
            </w:r>
            <w:r>
              <w:rPr>
                <w:rFonts w:ascii="Times New Roman" w:hAnsi="Times New Roman" w:cs="Times New Roman"/>
                <w:color w:val="000000"/>
              </w:rPr>
              <w:t xml:space="preserve">  Ddkms = ___________  x </w:t>
            </w:r>
            <w:r>
              <w:rPr>
                <w:rFonts w:ascii="Times New Roman" w:hAnsi="Times New Roman" w:cs="Times New Roman"/>
                <w:color w:val="000000"/>
              </w:rPr>
              <w:t>100,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                      Cpkms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где: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Cdkms - число детей, в отношении которых установлено диспансерное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наблюдение по поводу болезней костно-мышечной системы и соединительной ткани за период;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Cpkms - общее число детей с впервые в жизни установленными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диагнозами болезней костно-мышечной системы и соединительной ткани за период.</w:t>
            </w:r>
          </w:p>
          <w:p w:rsidR="00C15C35" w:rsidRDefault="00C15C35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Коды МКБ: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M00-M99 - Болезни костно-</w:t>
            </w:r>
            <w:r>
              <w:rPr>
                <w:rFonts w:ascii="Times New Roman" w:hAnsi="Times New Roman" w:cs="Times New Roman"/>
                <w:color w:val="000000"/>
              </w:rPr>
              <w:lastRenderedPageBreak/>
              <w:t>мышечной системы и соединительной ткани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Процент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spacing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Источником информации являются реестры, оказанной медицинской помощи застрахованным лицам.</w:t>
            </w:r>
          </w:p>
          <w:p w:rsidR="00C15C35" w:rsidRDefault="00EC0FFE">
            <w:pPr>
              <w:spacing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 информации для расчета показателей осуществляется по полям реестра: </w:t>
            </w:r>
          </w:p>
          <w:p w:rsidR="00C15C35" w:rsidRDefault="00EC0FFE">
            <w:pPr>
              <w:spacing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дата рождения; </w:t>
            </w:r>
          </w:p>
          <w:p w:rsidR="00C15C35" w:rsidRDefault="00EC0FFE">
            <w:pPr>
              <w:spacing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дата окончания лечения; </w:t>
            </w:r>
          </w:p>
          <w:p w:rsidR="00C15C35" w:rsidRDefault="00EC0FFE">
            <w:pPr>
              <w:spacing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диагноз основной; </w:t>
            </w:r>
          </w:p>
          <w:p w:rsidR="00C15C35" w:rsidRDefault="00EC0FFE">
            <w:pPr>
              <w:spacing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впервые выявлено (основной); </w:t>
            </w:r>
          </w:p>
          <w:p w:rsidR="00C15C35" w:rsidRDefault="00EC0FFE">
            <w:pPr>
              <w:spacing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характер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заболевания; </w:t>
            </w:r>
          </w:p>
          <w:p w:rsidR="00C15C35" w:rsidRDefault="00EC0FFE">
            <w:pPr>
              <w:spacing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цель посещения </w:t>
            </w:r>
          </w:p>
          <w:p w:rsidR="00C15C35" w:rsidRDefault="00C15C35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C15C35" w:rsidTr="00EC0FFE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20.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19.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Доля детей, в отношении которых установлено диспансерное наблюдение по поводу болезней глаза и его придаточного аппарата за период, от общего числа детей с впервые в жизни установленными диагнозами болезней глаза и его придаточного аппарата за период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  <w:u w:val="single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                   Cdgl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Ddgl =  __________   x 100,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                Cpgl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где: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Cdgl - число детей, в отношении которых установлено диспансерное наблюдение по поводу болезней глаза и его придаточного аппарата за период;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Cpgl - общее число детей с впервые в</w:t>
            </w:r>
            <w:r>
              <w:rPr>
                <w:rFonts w:ascii="Times New Roman" w:hAnsi="Times New Roman" w:cs="Times New Roman"/>
                <w:color w:val="000000"/>
              </w:rPr>
              <w:t xml:space="preserve"> жизни установленными диагнозами болезней глаза и его придаточного аппарата за период.</w:t>
            </w:r>
          </w:p>
          <w:p w:rsidR="00C15C35" w:rsidRDefault="00C15C35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Коды МКБ: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H00-H59 – Болезни глаза и его придаточного аппарата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Процент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spacing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Источником информации являются реестры, оказанной медицинской помощи застрахованным лицам.</w:t>
            </w:r>
          </w:p>
          <w:p w:rsidR="00C15C35" w:rsidRDefault="00EC0FFE">
            <w:pPr>
              <w:spacing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Отбор информации для расчета показателей осуществляется по полям реестра: </w:t>
            </w:r>
          </w:p>
          <w:p w:rsidR="00C15C35" w:rsidRDefault="00EC0FFE">
            <w:pPr>
              <w:spacing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дата рождения; </w:t>
            </w:r>
          </w:p>
          <w:p w:rsidR="00C15C35" w:rsidRDefault="00EC0FFE">
            <w:pPr>
              <w:spacing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дата окончания лечения; </w:t>
            </w:r>
          </w:p>
          <w:p w:rsidR="00C15C35" w:rsidRDefault="00EC0FFE">
            <w:pPr>
              <w:spacing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диагноз основной; </w:t>
            </w:r>
          </w:p>
          <w:p w:rsidR="00C15C35" w:rsidRDefault="00EC0FFE">
            <w:pPr>
              <w:spacing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впервые выявлено (основной); </w:t>
            </w:r>
          </w:p>
          <w:p w:rsidR="00C15C35" w:rsidRDefault="00EC0FFE">
            <w:pPr>
              <w:spacing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характер заболевания; </w:t>
            </w:r>
          </w:p>
          <w:p w:rsidR="00C15C35" w:rsidRDefault="00EC0FFE">
            <w:pPr>
              <w:spacing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цель посещения </w:t>
            </w:r>
          </w:p>
          <w:p w:rsidR="00C15C35" w:rsidRDefault="00C15C35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C15C35" w:rsidTr="00EC0FFE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21.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20.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Доля детей, в отношении которы</w:t>
            </w:r>
            <w:r>
              <w:rPr>
                <w:rFonts w:ascii="Times New Roman" w:hAnsi="Times New Roman" w:cs="Times New Roman"/>
                <w:color w:val="000000"/>
              </w:rPr>
              <w:t>х установлено диспансерное наблюдение по поводу болезней органов пищеварения за период, от общего числа детей с впервые в жизни установленными диагнозами болезней органов пищеварения за период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                          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Cdbor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Dbop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 xml:space="preserve">  = ______________  x 100,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73600" behindDoc="0" locked="0" layoutInCell="1" allowOverlap="1">
                      <wp:simplePos x="0" y="0"/>
                      <wp:positionH relativeFrom="column">
                        <wp:posOffset>908050</wp:posOffset>
                      </wp:positionH>
                      <wp:positionV relativeFrom="paragraph">
                        <wp:posOffset>-33019</wp:posOffset>
                      </wp:positionV>
                      <wp:extent cx="321945" cy="7620"/>
                      <wp:effectExtent l="0" t="0" r="0" b="0"/>
                      <wp:wrapNone/>
                      <wp:docPr id="19" name="_x0000_s105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 bwMode="auto">
                              <a:xfrm>
                                <a:off x="0" y="0"/>
                                <a:ext cx="321945" cy="7620"/>
                                <a:chOff x="0" y="0"/>
                                <a:chExt cx="321945" cy="7620"/>
                              </a:xfrm>
                            </wpg:grpSpPr>
                            <wps:wsp>
                              <wps:cNvPr id="35" name="Полилиния 35"/>
                              <wps:cNvSpPr/>
                              <wps:spPr bwMode="auto">
                                <a:xfrm>
                                  <a:off x="0" y="0"/>
                                  <a:ext cx="321945" cy="7620"/>
                                </a:xfrm>
                                <a:custGeom>
                                  <a:avLst/>
                                  <a:gdLst>
                                    <a:gd name="gd0" fmla="val 65536"/>
                                    <a:gd name="gd1" fmla="val 99880"/>
                                    <a:gd name="gd2" fmla="val 100000"/>
                                    <a:gd name="gd3" fmla="val 0"/>
                                    <a:gd name="gd4" fmla="val 100000"/>
                                    <a:gd name="gd5" fmla="val 0"/>
                                    <a:gd name="gd6" fmla="val 0"/>
                                    <a:gd name="gd7" fmla="val 99880"/>
                                    <a:gd name="gd8" fmla="val 0"/>
                                    <a:gd name="gd9" fmla="+- gd7 0 0"/>
                                    <a:gd name="gd10" fmla="+- gd8 100000 0"/>
                                  </a:gdLst>
                                  <a:ahLst/>
                                  <a:cxnLst/>
                                  <a:rect l="0" t="0" r="r" b="b"/>
                                  <a:pathLst>
                                    <a:path w="100000" h="100000" extrusionOk="0">
                                      <a:moveTo>
                                        <a:pt x="gd1" y="gd2"/>
                                      </a:moveTo>
                                      <a:lnTo>
                                        <a:pt x="gd3" y="gd4"/>
                                      </a:lnTo>
                                      <a:lnTo>
                                        <a:pt x="gd5" y="gd6"/>
                                      </a:lnTo>
                                      <a:lnTo>
                                        <a:pt x="gd7" y="gd8"/>
                                      </a:lnTo>
                                      <a:lnTo>
                                        <a:pt x="gd9" y="gd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>
                                    <a:alpha val="0"/>
                                  </a:srgbClr>
                                </a:solidFill>
                                <a:ln>
                                  <a:noFill/>
                                </a:ln>
                              </wps:spPr>
                              <wps:bodyPr rot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a="http://schemas.openxmlformats.org/drawingml/2006/main">
                  <w:pict>
                    <v:group id="group 33" o:spid="_x0000_s0000" style="position:absolute;z-index:251673600;o:allowoverlap:true;o:allowincell:true;mso-position-horizontal-relative:text;margin-left:71.50pt;mso-position-horizontal:absolute;mso-position-vertical-relative:text;margin-top:-2.60pt;mso-position-vertical:absolute;width:25.35pt;height:0.60pt;mso-wrap-distance-left:9.00pt;mso-wrap-distance-top:0.00pt;mso-wrap-distance-right:9.00pt;mso-wrap-distance-bottom:0.00pt;" coordorigin="0,0" coordsize="3219,76">
                      <v:shape id="shape 34" o:spid="_x0000_s34" style="position:absolute;left:0;top:0;width:3219;height:76;visibility:visible;" path="m99880,100000l0,100000l0,0l99880,0l99880,100000xe" coordsize="100000,100000" fillcolor="#000000" stroked="f">
                        <v:path textboxrect="0,0,100000,100000"/>
                        <v:fill opacity="100f"/>
                      </v:shape>
                    </v:group>
                  </w:pict>
                </mc:Fallback>
              </mc:AlternateConten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 xml:space="preserve">                          Cpbor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</w:rPr>
              <w:t>где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: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Cdbor - число детей, в отношении которых установлено диспансерное наблюдение по поводу болезней органов пищеварения за период;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Cpbor</w:t>
            </w:r>
            <w:r>
              <w:rPr>
                <w:rFonts w:ascii="Times New Roman" w:hAnsi="Times New Roman" w:cs="Times New Roman"/>
                <w:color w:val="000000"/>
              </w:rPr>
              <w:t xml:space="preserve"> - общее число детей с впервые в жизни установленными диагнозами болезней органов пищеварения за период.</w:t>
            </w:r>
          </w:p>
          <w:p w:rsidR="00C15C35" w:rsidRDefault="00C15C35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Коды МКБ: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K00-K93 – Болезни органов пищеварения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Процент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spacing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Источником информации являются реестры, оказанной медицинской помощи застрахованным лицам.</w:t>
            </w:r>
          </w:p>
          <w:p w:rsidR="00C15C35" w:rsidRDefault="00EC0FFE">
            <w:pPr>
              <w:spacing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 информации для расчета показателей осуществляется по полям реестра: </w:t>
            </w:r>
          </w:p>
          <w:p w:rsidR="00C15C35" w:rsidRDefault="00EC0FFE">
            <w:pPr>
              <w:spacing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дата рождения; </w:t>
            </w:r>
          </w:p>
          <w:p w:rsidR="00C15C35" w:rsidRDefault="00EC0FFE">
            <w:pPr>
              <w:spacing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дата окончания лечения; </w:t>
            </w:r>
          </w:p>
          <w:p w:rsidR="00C15C35" w:rsidRDefault="00EC0FFE">
            <w:pPr>
              <w:spacing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диагноз основной; </w:t>
            </w:r>
          </w:p>
          <w:p w:rsidR="00C15C35" w:rsidRDefault="00EC0FFE">
            <w:pPr>
              <w:spacing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впервые выявлено (основной); </w:t>
            </w:r>
          </w:p>
          <w:p w:rsidR="00C15C35" w:rsidRDefault="00EC0FFE">
            <w:pPr>
              <w:spacing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характер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заболевания; </w:t>
            </w:r>
          </w:p>
          <w:p w:rsidR="00C15C35" w:rsidRDefault="00EC0FFE">
            <w:pPr>
              <w:spacing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цель посещения </w:t>
            </w:r>
          </w:p>
          <w:p w:rsidR="00C15C35" w:rsidRDefault="00C15C35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C15C35" w:rsidTr="00EC0FFE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22.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21.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Доля детей, в отношении которых установлено диспансерное наблюдение по поводу болезней системы кровообращения за период от общего числа детей с впервые в жизни установленными диагнозами болезней системы кровообращения за период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                 Cdbsk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Dd</w:t>
            </w:r>
            <w:r>
              <w:rPr>
                <w:rFonts w:ascii="Times New Roman" w:hAnsi="Times New Roman" w:cs="Times New Roman"/>
                <w:color w:val="000000"/>
              </w:rPr>
              <w:t>bsk =    __________ x 100,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74624" behindDoc="0" locked="0" layoutInCell="1" allowOverlap="1">
                      <wp:simplePos x="0" y="0"/>
                      <wp:positionH relativeFrom="column">
                        <wp:posOffset>935990</wp:posOffset>
                      </wp:positionH>
                      <wp:positionV relativeFrom="paragraph">
                        <wp:posOffset>-33019</wp:posOffset>
                      </wp:positionV>
                      <wp:extent cx="315595" cy="7620"/>
                      <wp:effectExtent l="0" t="0" r="0" b="0"/>
                      <wp:wrapNone/>
                      <wp:docPr id="20" name="_x0000_s105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 bwMode="auto">
                              <a:xfrm>
                                <a:off x="0" y="0"/>
                                <a:ext cx="315595" cy="7620"/>
                                <a:chOff x="0" y="0"/>
                                <a:chExt cx="315595" cy="7620"/>
                              </a:xfrm>
                            </wpg:grpSpPr>
                            <wps:wsp>
                              <wps:cNvPr id="37" name="Полилиния 37"/>
                              <wps:cNvSpPr/>
                              <wps:spPr bwMode="auto">
                                <a:xfrm>
                                  <a:off x="0" y="0"/>
                                  <a:ext cx="315595" cy="7620"/>
                                </a:xfrm>
                                <a:custGeom>
                                  <a:avLst/>
                                  <a:gdLst>
                                    <a:gd name="gd0" fmla="val 65536"/>
                                    <a:gd name="gd1" fmla="val 99958"/>
                                    <a:gd name="gd2" fmla="val 99986"/>
                                    <a:gd name="gd3" fmla="val 0"/>
                                    <a:gd name="gd4" fmla="val 99986"/>
                                    <a:gd name="gd5" fmla="val 0"/>
                                    <a:gd name="gd6" fmla="val 0"/>
                                    <a:gd name="gd7" fmla="val 99958"/>
                                    <a:gd name="gd8" fmla="val 0"/>
                                    <a:gd name="gd9" fmla="+- gd7 0 0"/>
                                    <a:gd name="gd10" fmla="+- gd8 99986 0"/>
                                  </a:gdLst>
                                  <a:ahLst/>
                                  <a:cxnLst/>
                                  <a:rect l="0" t="0" r="r" b="b"/>
                                  <a:pathLst>
                                    <a:path w="100000" h="100000" extrusionOk="0">
                                      <a:moveTo>
                                        <a:pt x="gd1" y="gd2"/>
                                      </a:moveTo>
                                      <a:lnTo>
                                        <a:pt x="gd3" y="gd4"/>
                                      </a:lnTo>
                                      <a:lnTo>
                                        <a:pt x="gd5" y="gd6"/>
                                      </a:lnTo>
                                      <a:lnTo>
                                        <a:pt x="gd7" y="gd8"/>
                                      </a:lnTo>
                                      <a:lnTo>
                                        <a:pt x="gd9" y="gd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>
                                    <a:alpha val="0"/>
                                  </a:srgbClr>
                                </a:solidFill>
                                <a:ln>
                                  <a:noFill/>
                                </a:ln>
                              </wps:spPr>
                              <wps:bodyPr rot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a="http://schemas.openxmlformats.org/drawingml/2006/main">
                  <w:pict>
                    <v:group id="group 35" o:spid="_x0000_s0000" style="position:absolute;z-index:251674624;o:allowoverlap:true;o:allowincell:true;mso-position-horizontal-relative:text;margin-left:73.70pt;mso-position-horizontal:absolute;mso-position-vertical-relative:text;margin-top:-2.60pt;mso-position-vertical:absolute;width:24.85pt;height:0.60pt;mso-wrap-distance-left:9.00pt;mso-wrap-distance-top:0.00pt;mso-wrap-distance-right:9.00pt;mso-wrap-distance-bottom:0.00pt;" coordorigin="0,0" coordsize="3155,76">
                      <v:shape id="shape 36" o:spid="_x0000_s36" style="position:absolute;left:0;top:0;width:3155;height:76;visibility:visible;" path="m99956,99984l0,99984l0,0l99956,0l99956,99984xe" coordsize="100000,100000" fillcolor="#000000" stroked="f">
                        <v:path textboxrect="0,0,100000,100000"/>
                        <v:fill opacity="100f"/>
                      </v:shape>
                    </v:group>
                  </w:pict>
                </mc:Fallback>
              </mc:AlternateContent>
            </w:r>
            <w:r>
              <w:rPr>
                <w:rFonts w:ascii="Times New Roman" w:hAnsi="Times New Roman" w:cs="Times New Roman"/>
                <w:color w:val="000000"/>
              </w:rPr>
              <w:t xml:space="preserve">                    Cpbsk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где: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Cdbsk - число детей, в отношении которых установлено диспансерное наблюдение по поводу болезней системы кровообращения за период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Cpbsk</w:t>
            </w:r>
            <w:r>
              <w:rPr>
                <w:rFonts w:ascii="Times New Roman" w:hAnsi="Times New Roman" w:cs="Times New Roman"/>
                <w:color w:val="000000"/>
              </w:rPr>
              <w:t xml:space="preserve"> - общее число детей с впервые в жизни установленными диагнозами болезней системы кровообращения за период.</w:t>
            </w:r>
          </w:p>
          <w:p w:rsidR="00C15C35" w:rsidRDefault="00C15C35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Коды МКБ: I00-I99 – Болезни системы кровообращения.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Q20 - Q28 – Врожденные аномалии [пороки развития] системы кровообращения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Процент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spacing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Источником инф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ормации являются реестры, оказанной медицинской помощи застрахованным лицам.</w:t>
            </w:r>
          </w:p>
          <w:p w:rsidR="00C15C35" w:rsidRDefault="00EC0FFE">
            <w:pPr>
              <w:spacing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Отбор информации для расчета показателей осуществляется по полям реестра: </w:t>
            </w:r>
          </w:p>
          <w:p w:rsidR="00C15C35" w:rsidRDefault="00EC0FFE">
            <w:pPr>
              <w:spacing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дата рождения; </w:t>
            </w:r>
          </w:p>
          <w:p w:rsidR="00C15C35" w:rsidRDefault="00EC0FFE">
            <w:pPr>
              <w:spacing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дата окончания лечения; </w:t>
            </w:r>
          </w:p>
          <w:p w:rsidR="00C15C35" w:rsidRDefault="00EC0FFE">
            <w:pPr>
              <w:spacing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диагноз основной; </w:t>
            </w:r>
          </w:p>
          <w:p w:rsidR="00C15C35" w:rsidRDefault="00EC0FFE">
            <w:pPr>
              <w:spacing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впервые выявлено (основной); </w:t>
            </w:r>
          </w:p>
          <w:p w:rsidR="00C15C35" w:rsidRDefault="00EC0FFE">
            <w:pPr>
              <w:spacing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характер заболевания; </w:t>
            </w:r>
          </w:p>
          <w:p w:rsidR="00C15C35" w:rsidRDefault="00EC0FFE">
            <w:pPr>
              <w:spacing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цель посещения </w:t>
            </w:r>
          </w:p>
          <w:p w:rsidR="00C15C35" w:rsidRDefault="00C15C35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C15C35" w:rsidTr="00EC0FFE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23.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22.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Доля детей, в отношении которых установлено диспансерное наблюдение по поводу болезней эндокринной системы, расстройства питания и нарушения обмена веществ за период, от общего числа детей с впервые в жи</w:t>
            </w:r>
            <w:r>
              <w:rPr>
                <w:rFonts w:ascii="Times New Roman" w:hAnsi="Times New Roman" w:cs="Times New Roman"/>
                <w:color w:val="000000"/>
              </w:rPr>
              <w:t>зни установленными диагнозами болезней эндокринной системы, расстройства питания и нарушения обмена веществ за период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rPr>
                <w:rFonts w:ascii="Cambria Math" w:hAnsi="Cambria Math" w:cs="Cambria Math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                 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 xml:space="preserve">Cdbes 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Ddbes =  _________x 100,</w:t>
            </w:r>
          </w:p>
          <w:p w:rsidR="00C15C35" w:rsidRDefault="00EC0FFE">
            <w:pPr>
              <w:pStyle w:val="ConsPlusNormal"/>
              <w:rPr>
                <w:rFonts w:ascii="Cambria Math" w:hAnsi="Cambria Math" w:cs="Cambria Math"/>
                <w:color w:val="000000"/>
                <w:lang w:val="en-US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75648" behindDoc="0" locked="0" layoutInCell="1" allowOverlap="1">
                      <wp:simplePos x="0" y="0"/>
                      <wp:positionH relativeFrom="column">
                        <wp:posOffset>937260</wp:posOffset>
                      </wp:positionH>
                      <wp:positionV relativeFrom="paragraph">
                        <wp:posOffset>-33019</wp:posOffset>
                      </wp:positionV>
                      <wp:extent cx="307975" cy="7620"/>
                      <wp:effectExtent l="0" t="0" r="0" b="0"/>
                      <wp:wrapNone/>
                      <wp:docPr id="21" name="_x0000_s106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 bwMode="auto">
                              <a:xfrm>
                                <a:off x="0" y="0"/>
                                <a:ext cx="307975" cy="7620"/>
                                <a:chOff x="0" y="0"/>
                                <a:chExt cx="307975" cy="7620"/>
                              </a:xfrm>
                            </wpg:grpSpPr>
                            <wps:wsp>
                              <wps:cNvPr id="39" name="Полилиния 39"/>
                              <wps:cNvSpPr/>
                              <wps:spPr bwMode="auto">
                                <a:xfrm>
                                  <a:off x="0" y="0"/>
                                  <a:ext cx="307975" cy="7620"/>
                                </a:xfrm>
                                <a:custGeom>
                                  <a:avLst/>
                                  <a:gdLst>
                                    <a:gd name="gd0" fmla="val 65536"/>
                                    <a:gd name="gd1" fmla="val 99958"/>
                                    <a:gd name="gd2" fmla="val 99986"/>
                                    <a:gd name="gd3" fmla="val 0"/>
                                    <a:gd name="gd4" fmla="val 99986"/>
                                    <a:gd name="gd5" fmla="val 0"/>
                                    <a:gd name="gd6" fmla="val 0"/>
                                    <a:gd name="gd7" fmla="val 99958"/>
                                    <a:gd name="gd8" fmla="val 0"/>
                                    <a:gd name="gd9" fmla="+- gd7 0 0"/>
                                    <a:gd name="gd10" fmla="+- gd8 99986 0"/>
                                  </a:gdLst>
                                  <a:ahLst/>
                                  <a:cxnLst/>
                                  <a:rect l="0" t="0" r="r" b="b"/>
                                  <a:pathLst>
                                    <a:path w="100000" h="100000" extrusionOk="0">
                                      <a:moveTo>
                                        <a:pt x="gd1" y="gd2"/>
                                      </a:moveTo>
                                      <a:lnTo>
                                        <a:pt x="gd3" y="gd4"/>
                                      </a:lnTo>
                                      <a:lnTo>
                                        <a:pt x="gd5" y="gd6"/>
                                      </a:lnTo>
                                      <a:lnTo>
                                        <a:pt x="gd7" y="gd8"/>
                                      </a:lnTo>
                                      <a:lnTo>
                                        <a:pt x="gd9" y="gd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>
                                    <a:alpha val="0"/>
                                  </a:srgbClr>
                                </a:solidFill>
                                <a:ln>
                                  <a:noFill/>
                                </a:ln>
                              </wps:spPr>
                              <wps:bodyPr rot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a="http://schemas.openxmlformats.org/drawingml/2006/main">
                  <w:pict>
                    <v:group id="group 37" o:spid="_x0000_s0000" style="position:absolute;z-index:251675648;o:allowoverlap:true;o:allowincell:true;mso-position-horizontal-relative:text;margin-left:73.80pt;mso-position-horizontal:absolute;mso-position-vertical-relative:text;margin-top:-2.60pt;mso-position-vertical:absolute;width:24.25pt;height:0.60pt;mso-wrap-distance-left:9.00pt;mso-wrap-distance-top:0.00pt;mso-wrap-distance-right:9.00pt;mso-wrap-distance-bottom:0.00pt;" coordorigin="0,0" coordsize="3079,76">
                      <v:shape id="shape 38" o:spid="_x0000_s38" style="position:absolute;left:0;top:0;width:3079;height:76;visibility:visible;" path="m99956,99984l0,99984l0,0l99956,0l99956,99984xe" coordsize="100000,100000" fillcolor="#000000" stroked="f">
                        <v:path textboxrect="0,0,100000,100000"/>
                        <v:fill opacity="100f"/>
                      </v:shape>
                    </v:group>
                  </w:pict>
                </mc:Fallback>
              </mc:AlternateConten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 xml:space="preserve">                  Cpbes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</w:rPr>
              <w:t>где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: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Cdbes</w:t>
            </w:r>
            <w:r>
              <w:rPr>
                <w:rFonts w:ascii="Times New Roman" w:hAnsi="Times New Roman" w:cs="Times New Roman"/>
                <w:color w:val="000000"/>
              </w:rPr>
              <w:t xml:space="preserve"> - число детей, в отношении которых установлено диспансерное наблюдение по поводу болезней эндокринной системы, расстройства питания и нарушения обмена веществ за период;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Cpbes - общее число детей с впервые в жизни установленными диагнозами болезней эндокр</w:t>
            </w:r>
            <w:r>
              <w:rPr>
                <w:rFonts w:ascii="Times New Roman" w:hAnsi="Times New Roman" w:cs="Times New Roman"/>
                <w:color w:val="000000"/>
              </w:rPr>
              <w:t>инной системы, расстройства питания и нарушения обмена веществ за период.</w:t>
            </w:r>
          </w:p>
          <w:p w:rsidR="00C15C35" w:rsidRDefault="00C15C35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Коды МКБ: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Е43 – Тяжелая белково-энергетическая недостаточность неуточненная Е44 – Белково-энергетическая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недостаточность умеренной и слабой степени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Е10-14 – Сахарный диабет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Е66 – Ож</w:t>
            </w:r>
            <w:r>
              <w:rPr>
                <w:rFonts w:ascii="Times New Roman" w:hAnsi="Times New Roman" w:cs="Times New Roman"/>
                <w:color w:val="000000"/>
              </w:rPr>
              <w:t>ирение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Е67 – Другие виды избыточности питания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Е68 – Последствия избыточности питания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Процент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spacing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Источником информации являются реестры, оказанной медицинской помощи застрахованным лицам.</w:t>
            </w:r>
          </w:p>
          <w:p w:rsidR="00C15C35" w:rsidRDefault="00EC0FFE">
            <w:pPr>
              <w:spacing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Отбор информации для расчета показателей осуществляется по полям реестра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C15C35" w:rsidRDefault="00EC0FFE">
            <w:pPr>
              <w:spacing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дата рождения; </w:t>
            </w:r>
          </w:p>
          <w:p w:rsidR="00C15C35" w:rsidRDefault="00EC0FFE">
            <w:pPr>
              <w:spacing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дата окончания лечения; </w:t>
            </w:r>
          </w:p>
          <w:p w:rsidR="00C15C35" w:rsidRDefault="00EC0FFE">
            <w:pPr>
              <w:spacing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диагноз основной; </w:t>
            </w:r>
          </w:p>
          <w:p w:rsidR="00C15C35" w:rsidRDefault="00EC0FFE">
            <w:pPr>
              <w:spacing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впервые выявлено (основной); </w:t>
            </w:r>
          </w:p>
          <w:p w:rsidR="00C15C35" w:rsidRDefault="00EC0FFE">
            <w:pPr>
              <w:spacing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характер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заболевания; </w:t>
            </w:r>
          </w:p>
          <w:p w:rsidR="00C15C35" w:rsidRDefault="00EC0FFE">
            <w:pPr>
              <w:spacing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цель посещения </w:t>
            </w:r>
          </w:p>
          <w:p w:rsidR="00C15C35" w:rsidRDefault="00C15C35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C15C35" w:rsidTr="00EC0FFE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24.</w:t>
            </w:r>
          </w:p>
        </w:tc>
        <w:tc>
          <w:tcPr>
            <w:tcW w:w="99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Оказание акушерско-гинекологической помощи</w:t>
            </w:r>
          </w:p>
        </w:tc>
      </w:tr>
      <w:tr w:rsidR="00C15C35" w:rsidTr="00EC0FFE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25.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23.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Доля женщин, отказавшихся от искусственного прерывания беременности, от числа женщин, прошедших доабортное консультирование за период</w:t>
            </w: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C15C35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  <w:u w:val="single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W = </w:t>
            </w:r>
            <w:r>
              <w:rPr>
                <w:rFonts w:ascii="Times New Roman" w:hAnsi="Times New Roman" w:cs="Times New Roman"/>
                <w:color w:val="000000"/>
                <w:u w:val="single"/>
              </w:rPr>
              <w:t>Kотк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          K        x 100,</w:t>
            </w:r>
          </w:p>
          <w:p w:rsidR="00C15C35" w:rsidRDefault="00C15C35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где: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sz w:val="32"/>
                <w:szCs w:val="32"/>
                <w:vertAlign w:val="subscript"/>
              </w:rPr>
              <w:t>K</w:t>
            </w:r>
            <w:r>
              <w:rPr>
                <w:rFonts w:ascii="Times New Roman" w:hAnsi="Times New Roman" w:cs="Times New Roman"/>
                <w:color w:val="000000"/>
                <w:vertAlign w:val="subscript"/>
              </w:rPr>
              <w:t>отк</w:t>
            </w:r>
            <w:r>
              <w:rPr>
                <w:rFonts w:ascii="Times New Roman" w:hAnsi="Times New Roman" w:cs="Times New Roman"/>
                <w:color w:val="000000"/>
              </w:rPr>
              <w:t xml:space="preserve"> - число женщин, отказавшихся от искусственного прерывания беременности за период;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K - общее число женщин, прошедших доабортное консультирование за период.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Процент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Источником информации являются данные министерства здравоохранения Ставропольского края, пре</w:t>
            </w:r>
            <w:r>
              <w:rPr>
                <w:rFonts w:ascii="Times New Roman" w:hAnsi="Times New Roman" w:cs="Times New Roman"/>
                <w:color w:val="000000"/>
              </w:rPr>
              <w:t>доставляемые в электронной форме, в виде файла, установленного ТФОМС СК формата</w:t>
            </w:r>
          </w:p>
        </w:tc>
      </w:tr>
      <w:tr w:rsidR="00C15C35" w:rsidTr="00EC0FFE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26.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24.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Доля женщин с подозрением на злокачественное новообразование шейки матки, выявленным впервые при профилактическом медицинском осмотре или диспансеризации, от общего чи</w:t>
            </w:r>
            <w:r>
              <w:rPr>
                <w:rFonts w:ascii="Times New Roman" w:hAnsi="Times New Roman" w:cs="Times New Roman"/>
                <w:color w:val="000000"/>
              </w:rPr>
              <w:t>сла женщин с подозрением на злокачественное новообразование или впервые в жизни установленным диагнозом злокачественное новообразование шейки матки, за период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  <w:u w:val="single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32"/>
                <w:szCs w:val="32"/>
                <w:vertAlign w:val="subscript"/>
                <w:lang w:val="en-US"/>
              </w:rPr>
              <w:t>Z</w:t>
            </w:r>
            <w:r>
              <w:rPr>
                <w:rFonts w:ascii="Times New Roman" w:hAnsi="Times New Roman" w:cs="Times New Roman"/>
                <w:color w:val="000000"/>
                <w:vertAlign w:val="subscript"/>
              </w:rPr>
              <w:t>шм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 xml:space="preserve"> =       </w:t>
            </w:r>
            <w:r>
              <w:rPr>
                <w:rFonts w:ascii="Times New Roman" w:hAnsi="Times New Roman" w:cs="Times New Roman"/>
                <w:color w:val="000000"/>
                <w:u w:val="single"/>
                <w:lang w:val="en-US"/>
              </w:rPr>
              <w:t xml:space="preserve"> A </w:t>
            </w:r>
            <w:r>
              <w:rPr>
                <w:rFonts w:ascii="Times New Roman" w:hAnsi="Times New Roman" w:cs="Times New Roman"/>
                <w:color w:val="000000"/>
                <w:u w:val="single"/>
              </w:rPr>
              <w:t>шм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 xml:space="preserve">                  V </w:t>
            </w:r>
            <w:r>
              <w:rPr>
                <w:rFonts w:ascii="Times New Roman" w:hAnsi="Times New Roman" w:cs="Times New Roman"/>
                <w:color w:val="000000"/>
              </w:rPr>
              <w:t>шм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 xml:space="preserve">      x 100,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где: A шм</w:t>
            </w:r>
            <w:r>
              <w:rPr>
                <w:rFonts w:ascii="Times New Roman" w:hAnsi="Times New Roman" w:cs="Times New Roman"/>
                <w:color w:val="000000"/>
              </w:rPr>
              <w:t xml:space="preserve"> - число женщин с подозрением на злокачественное новообразование шейки матки, выявленном при профилактическом медицинском осмотре или диспансеризации за период;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Vшм - общее число женщин с подозрением на злокачественное новообразование или впервые в жизни у</w:t>
            </w:r>
            <w:r>
              <w:rPr>
                <w:rFonts w:ascii="Times New Roman" w:hAnsi="Times New Roman" w:cs="Times New Roman"/>
                <w:color w:val="000000"/>
              </w:rPr>
              <w:t>становленным диагнозом злокачественное новообразование шейки матки за период.</w:t>
            </w:r>
          </w:p>
          <w:p w:rsidR="00C15C35" w:rsidRDefault="00C15C35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Коды МКБ: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D06 - Карцинома in situ шейки </w:t>
            </w:r>
            <w:r>
              <w:rPr>
                <w:rFonts w:ascii="Times New Roman" w:hAnsi="Times New Roman" w:cs="Times New Roman"/>
                <w:color w:val="000000"/>
              </w:rPr>
              <w:lastRenderedPageBreak/>
              <w:t>матки: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D06.0 – внутренней части.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D06.1 - наружной части.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D06.7 - других частей шейки матки. D06.9 - неуточненной части шейки матки.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C53 – Злокачественное новообразование шейки матки: C53.0 – Внутренней части.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C53.1 – Наружной части.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C53.8 – Выходящее за пределы одной и более вышеуказанных локализаций. C53.9 – Шейки матки неуточненной части.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Процент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afd"/>
              <w:spacing w:before="0" w:after="0" w:line="288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Расчет показателя осуществляется путе</w:t>
            </w:r>
            <w:r>
              <w:rPr>
                <w:rFonts w:ascii="Times New Roman" w:hAnsi="Times New Roman" w:cs="Times New Roman"/>
              </w:rPr>
              <w:t>м отбора информации по полям реестров счетов у которых значение поля TYPE (Тип реестра счетов) в соответствии со справочником SK017 находится в диапазоне "20 - 29" и 80 - 81 предусматривает заполнение поля реестра "Признак подозрения на ЗНО" значением "1".</w:t>
            </w:r>
            <w:r>
              <w:rPr>
                <w:rFonts w:ascii="Times New Roman" w:hAnsi="Times New Roman" w:cs="Times New Roman"/>
              </w:rPr>
              <w:t xml:space="preserve"> Движение пациента отслеживается по </w:t>
            </w:r>
            <w:r>
              <w:rPr>
                <w:rFonts w:ascii="Times New Roman" w:hAnsi="Times New Roman" w:cs="Times New Roman"/>
              </w:rPr>
              <w:lastRenderedPageBreak/>
              <w:t>реестрам счетов у которых значение поля TYPE (Тип реестра счетов) в соответствии со справочником SK017 "60";</w:t>
            </w:r>
          </w:p>
          <w:p w:rsidR="00C15C35" w:rsidRDefault="00EC0FFE">
            <w:pPr>
              <w:pStyle w:val="afd"/>
              <w:spacing w:before="0" w:beforeAutospacing="0" w:after="0" w:afterAutospacing="0" w:line="288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диагноз основной, </w:t>
            </w:r>
          </w:p>
          <w:p w:rsidR="00C15C35" w:rsidRDefault="00EC0FFE">
            <w:pPr>
              <w:pStyle w:val="afd"/>
              <w:spacing w:before="0" w:beforeAutospacing="0" w:after="0" w:afterAutospacing="0" w:line="288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характер основного заболевания </w:t>
            </w:r>
          </w:p>
        </w:tc>
      </w:tr>
      <w:tr w:rsidR="00C15C35" w:rsidTr="00EC0FFE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27.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25.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Доля женщин с подозрением на злокачественное новообразование молочной железы, выявленным впервые при профилактическом медицинском осмотре или диспансеризации, от общего числа женщин с подозрением на злокачественное новообразование или впервые в жизни устан</w:t>
            </w:r>
            <w:r>
              <w:rPr>
                <w:rFonts w:ascii="Times New Roman" w:hAnsi="Times New Roman" w:cs="Times New Roman"/>
                <w:color w:val="000000"/>
              </w:rPr>
              <w:t>овленным диагнозом злокачественное новообразование молочной железы, за период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3</w:t>
            </w:r>
            <w:r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  <w:u w:val="single"/>
              </w:rPr>
            </w:pPr>
            <w:r>
              <w:rPr>
                <w:rFonts w:ascii="Times New Roman" w:hAnsi="Times New Roman" w:cs="Times New Roman"/>
                <w:color w:val="000000"/>
                <w:sz w:val="32"/>
                <w:szCs w:val="32"/>
                <w:vertAlign w:val="subscript"/>
              </w:rPr>
              <w:t>Z</w:t>
            </w:r>
            <w:r>
              <w:rPr>
                <w:rFonts w:ascii="Times New Roman" w:hAnsi="Times New Roman" w:cs="Times New Roman"/>
                <w:color w:val="000000"/>
                <w:vertAlign w:val="subscript"/>
              </w:rPr>
              <w:t xml:space="preserve"> мж</w:t>
            </w:r>
            <w:r>
              <w:rPr>
                <w:rFonts w:ascii="Times New Roman" w:hAnsi="Times New Roman" w:cs="Times New Roman"/>
                <w:color w:val="000000"/>
              </w:rPr>
              <w:t xml:space="preserve"> =      </w:t>
            </w:r>
            <w:r>
              <w:rPr>
                <w:rFonts w:ascii="Times New Roman" w:hAnsi="Times New Roman" w:cs="Times New Roman"/>
                <w:color w:val="000000"/>
                <w:u w:val="single"/>
              </w:rPr>
              <w:t xml:space="preserve">Aмж 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               Vмж      x 100,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где: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sz w:val="36"/>
                <w:szCs w:val="36"/>
                <w:vertAlign w:val="subscript"/>
              </w:rPr>
              <w:t>A</w:t>
            </w:r>
            <w:r>
              <w:rPr>
                <w:rFonts w:ascii="Times New Roman" w:hAnsi="Times New Roman" w:cs="Times New Roman"/>
                <w:color w:val="000000"/>
                <w:vertAlign w:val="subscript"/>
              </w:rPr>
              <w:t>мж</w:t>
            </w:r>
            <w:r>
              <w:rPr>
                <w:rFonts w:ascii="Times New Roman" w:hAnsi="Times New Roman" w:cs="Times New Roman"/>
                <w:color w:val="000000"/>
              </w:rPr>
              <w:t xml:space="preserve"> - число женщин с подозрением на злокачественное новообразование молочной железы, выявленным впервые профилактическом медицинском осмотре или диспансеризации за период;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sz w:val="36"/>
                <w:szCs w:val="36"/>
                <w:vertAlign w:val="subscript"/>
              </w:rPr>
              <w:t>V</w:t>
            </w:r>
            <w:r>
              <w:rPr>
                <w:rFonts w:ascii="Times New Roman" w:hAnsi="Times New Roman" w:cs="Times New Roman"/>
                <w:color w:val="000000"/>
                <w:vertAlign w:val="subscript"/>
              </w:rPr>
              <w:t>мж</w:t>
            </w:r>
            <w:r>
              <w:rPr>
                <w:rFonts w:ascii="Times New Roman" w:hAnsi="Times New Roman" w:cs="Times New Roman"/>
                <w:color w:val="000000"/>
              </w:rPr>
              <w:t xml:space="preserve"> - общее число женщин с подозрением на злокачественное новообразование или впервые в</w:t>
            </w:r>
            <w:r>
              <w:rPr>
                <w:rFonts w:ascii="Times New Roman" w:hAnsi="Times New Roman" w:cs="Times New Roman"/>
                <w:color w:val="000000"/>
              </w:rPr>
              <w:t xml:space="preserve"> жизни установленным диагнозом злокачественное новообразование молочной железы за период.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Коды МКБ: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D05 – Карцинома in situ молочной железы: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D05.0 – Дольковая карцинома in situ. D05.1 – Внутрипротоковая карцинома in situ.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D05.7 – Другая карцинома in situ м</w:t>
            </w:r>
            <w:r>
              <w:rPr>
                <w:rFonts w:ascii="Times New Roman" w:hAnsi="Times New Roman" w:cs="Times New Roman"/>
                <w:color w:val="000000"/>
              </w:rPr>
              <w:t>олочной железы.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D05.9 – Карцинома in situ молочной железы неуточненная.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C50 – Злокачественное новообразование молочной </w:t>
            </w:r>
            <w:r>
              <w:rPr>
                <w:rFonts w:ascii="Times New Roman" w:hAnsi="Times New Roman" w:cs="Times New Roman"/>
                <w:color w:val="000000"/>
              </w:rPr>
              <w:lastRenderedPageBreak/>
              <w:t>железы: C50.0 – соска и ареолы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C50.1 – центральной части молочной железы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C50.2 – верхневнутреннего квадранта молочной железы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C50.3 – нижн</w:t>
            </w:r>
            <w:r>
              <w:rPr>
                <w:rFonts w:ascii="Times New Roman" w:hAnsi="Times New Roman" w:cs="Times New Roman"/>
                <w:color w:val="000000"/>
              </w:rPr>
              <w:t>евнутреннего квадранта молочной железы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C50.4 – верхненаружного квадранта молочной железы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C50.5 – нижненаружного квадранта молочной железы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C50.6 – подмышечной задней части молочной железы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C50.8 – поражение молочной железы, выходящее за пределы одной и более</w:t>
            </w:r>
            <w:r>
              <w:rPr>
                <w:rFonts w:ascii="Times New Roman" w:hAnsi="Times New Roman" w:cs="Times New Roman"/>
                <w:color w:val="000000"/>
              </w:rPr>
              <w:t xml:space="preserve"> вышеуказанных локализаций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C50.9 – молочной железы неуточненной части.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Процент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Расчет показателя осуществляется путем отбора информации по полям реестров счетов у которых значение поля TYPE (Тип реестра счетов) в соответствии со справочником SK017 находитс</w:t>
            </w:r>
            <w:r>
              <w:rPr>
                <w:rFonts w:ascii="Times New Roman" w:hAnsi="Times New Roman" w:cs="Times New Roman"/>
                <w:color w:val="000000"/>
              </w:rPr>
              <w:t>я в диапазоне "20 - 29" и 80 - 81 предусматривает заполнение поля реестра "Признак подозрения на ЗНО" значением "1". Движение пациента отслеживается по реестрам счетов у которых значение поля TYPE (Тип реестра счетов) в соответствии со справочником SK017 "</w:t>
            </w:r>
            <w:r>
              <w:rPr>
                <w:rFonts w:ascii="Times New Roman" w:hAnsi="Times New Roman" w:cs="Times New Roman"/>
                <w:color w:val="000000"/>
              </w:rPr>
              <w:t>60";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 диагноз основной,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 характер основного заболевания</w:t>
            </w:r>
          </w:p>
        </w:tc>
      </w:tr>
      <w:tr w:rsidR="00C15C35" w:rsidTr="00EC0FFE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28.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26.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Доля беременных женщин, прошедших скрининг в части оценки антенатального развития плода за период, от общего числа женщин, состоявших на учете по поводу беременности и родов за период</w:t>
            </w: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              S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  B  =</w:t>
            </w:r>
            <w:r>
              <w:rPr>
                <w:rFonts w:ascii="Times New Roman" w:hAnsi="Times New Roman" w:cs="Times New Roman"/>
                <w:color w:val="000000"/>
              </w:rPr>
              <w:tab/>
              <w:t xml:space="preserve">  ____</w:t>
            </w:r>
          </w:p>
          <w:p w:rsidR="00C15C35" w:rsidRDefault="00EC0FFE">
            <w:pPr>
              <w:pStyle w:val="ConsPlusNormal"/>
              <w:tabs>
                <w:tab w:val="center" w:pos="1851"/>
              </w:tabs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76672" behindDoc="0" locked="0" layoutInCell="1" allowOverlap="1">
                      <wp:simplePos x="0" y="0"/>
                      <wp:positionH relativeFrom="column">
                        <wp:posOffset>887095</wp:posOffset>
                      </wp:positionH>
                      <wp:positionV relativeFrom="paragraph">
                        <wp:posOffset>-33019</wp:posOffset>
                      </wp:positionV>
                      <wp:extent cx="81280" cy="7620"/>
                      <wp:effectExtent l="0" t="0" r="0" b="0"/>
                      <wp:wrapNone/>
                      <wp:docPr id="22" name="_x0000_s106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 bwMode="auto">
                              <a:xfrm>
                                <a:off x="0" y="0"/>
                                <a:ext cx="81280" cy="7620"/>
                                <a:chOff x="0" y="0"/>
                                <a:chExt cx="81280" cy="7620"/>
                              </a:xfrm>
                            </wpg:grpSpPr>
                            <wps:wsp>
                              <wps:cNvPr id="41" name="Полилиния 41"/>
                              <wps:cNvSpPr/>
                              <wps:spPr bwMode="auto">
                                <a:xfrm>
                                  <a:off x="0" y="0"/>
                                  <a:ext cx="81280" cy="7620"/>
                                </a:xfrm>
                                <a:custGeom>
                                  <a:avLst/>
                                  <a:gdLst>
                                    <a:gd name="gd0" fmla="val 65536"/>
                                    <a:gd name="gd1" fmla="val 99373"/>
                                    <a:gd name="gd2" fmla="val 99986"/>
                                    <a:gd name="gd3" fmla="val 0"/>
                                    <a:gd name="gd4" fmla="val 99986"/>
                                    <a:gd name="gd5" fmla="val 0"/>
                                    <a:gd name="gd6" fmla="val 0"/>
                                    <a:gd name="gd7" fmla="val 99373"/>
                                    <a:gd name="gd8" fmla="val 0"/>
                                    <a:gd name="gd9" fmla="+- gd7 0 0"/>
                                    <a:gd name="gd10" fmla="+- gd8 99986 0"/>
                                  </a:gdLst>
                                  <a:ahLst/>
                                  <a:cxnLst/>
                                  <a:rect l="0" t="0" r="r" b="b"/>
                                  <a:pathLst>
                                    <a:path w="100000" h="100000" extrusionOk="0">
                                      <a:moveTo>
                                        <a:pt x="gd1" y="gd2"/>
                                      </a:moveTo>
                                      <a:lnTo>
                                        <a:pt x="gd3" y="gd4"/>
                                      </a:lnTo>
                                      <a:lnTo>
                                        <a:pt x="gd5" y="gd6"/>
                                      </a:lnTo>
                                      <a:lnTo>
                                        <a:pt x="gd7" y="gd8"/>
                                      </a:lnTo>
                                      <a:lnTo>
                                        <a:pt x="gd9" y="gd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>
                                    <a:alpha val="0"/>
                                  </a:srgbClr>
                                </a:solidFill>
                                <a:ln>
                                  <a:noFill/>
                                </a:ln>
                              </wps:spPr>
                              <wps:bodyPr rot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a="http://schemas.openxmlformats.org/drawingml/2006/main">
                  <w:pict>
                    <v:group id="group 39" o:spid="_x0000_s0000" style="position:absolute;z-index:251676672;o:allowoverlap:true;o:allowincell:true;mso-position-horizontal-relative:text;margin-left:69.85pt;mso-position-horizontal:absolute;mso-position-vertical-relative:text;margin-top:-2.60pt;mso-position-vertical:absolute;width:6.40pt;height:0.60pt;mso-wrap-distance-left:9.00pt;mso-wrap-distance-top:0.00pt;mso-wrap-distance-right:9.00pt;mso-wrap-distance-bottom:0.00pt;" coordorigin="0,0" coordsize="812,76">
                      <v:shape id="shape 40" o:spid="_x0000_s40" style="position:absolute;left:0;top:0;width:812;height:76;visibility:visible;" path="m99373,99984l0,99984l0,0l99373,0l99373,99984xe" coordsize="100000,100000" fillcolor="#000000" stroked="f">
                        <v:path textboxrect="0,0,100000,100000"/>
                        <v:fill opacity="100f"/>
                      </v:shape>
                    </v:group>
                  </w:pict>
                </mc:Fallback>
              </mc:AlternateContent>
            </w:r>
            <w:r>
              <w:rPr>
                <w:rFonts w:ascii="Times New Roman" w:hAnsi="Times New Roman" w:cs="Times New Roman"/>
                <w:color w:val="000000"/>
              </w:rPr>
              <w:t xml:space="preserve">                 U      x 100,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где: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S - число беременных женщин, прошедших скрининг в части оценки антенатального развития плода при сроке беременности 11 - 14 недель (УЗИ и определение материнских сывороточных маркеров) и 19 - 21 неделя (УЗИ), с родоразрешением;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U - общее число женщин, сост</w:t>
            </w:r>
            <w:r>
              <w:rPr>
                <w:rFonts w:ascii="Times New Roman" w:hAnsi="Times New Roman" w:cs="Times New Roman"/>
                <w:color w:val="000000"/>
              </w:rPr>
              <w:t>оявших на учете по поводу беременности и родов за период, с родоразрешением.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Процент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spacing w:after="0" w:line="288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Источником информации являются данные министерства здравоохранения Ставропольского края, предоставляемые в электронной форме, в виде файла, установленного ТФОМС СК формата</w:t>
            </w:r>
          </w:p>
          <w:p w:rsidR="00C15C35" w:rsidRDefault="00C15C35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C15C35" w:rsidTr="00EC0FFE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29.</w:t>
            </w:r>
          </w:p>
        </w:tc>
        <w:tc>
          <w:tcPr>
            <w:tcW w:w="99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Оценка качества оказания медицинской помощи</w:t>
            </w:r>
          </w:p>
        </w:tc>
      </w:tr>
      <w:tr w:rsidR="00C15C35" w:rsidTr="00EC0FFE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C15C35">
            <w:pPr>
              <w:spacing w:after="0" w:line="240" w:lineRule="auto"/>
              <w:rPr>
                <w:sz w:val="20"/>
                <w:szCs w:val="20"/>
              </w:rPr>
            </w:pPr>
          </w:p>
          <w:p w:rsidR="00C15C35" w:rsidRDefault="00EC0F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rPr>
                <w:rFonts w:ascii="TimesNewRoman" w:hAnsi="TimesNewRoman" w:cs="TimesNewRoman"/>
                <w:color w:val="000000"/>
              </w:rPr>
            </w:pPr>
            <w:r>
              <w:rPr>
                <w:rFonts w:ascii="TimesNewRoman" w:hAnsi="TimesNewRoman" w:cs="TimesNewRoman"/>
                <w:color w:val="000000"/>
              </w:rPr>
              <w:t>27.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Доля экс</w:t>
            </w:r>
            <w:r>
              <w:rPr>
                <w:rFonts w:ascii="Times New Roman" w:hAnsi="Times New Roman" w:cs="Times New Roman"/>
                <w:color w:val="000000"/>
              </w:rPr>
              <w:t xml:space="preserve">пертиз качества медицинской помощи, оказанной в рамках диспансерного наблюдения, в которых выявлены нарушения, приведшие к ухудшению состояния здоровья, летальному </w:t>
            </w:r>
            <w:r>
              <w:rPr>
                <w:rFonts w:ascii="Times New Roman" w:hAnsi="Times New Roman" w:cs="Times New Roman"/>
                <w:color w:val="000000"/>
              </w:rPr>
              <w:lastRenderedPageBreak/>
              <w:t>исходу застрахованного лица, от всех проведенных экспертиз качества медицинской помощи. (ЭДН</w:t>
            </w:r>
            <w:r>
              <w:rPr>
                <w:rFonts w:ascii="Times New Roman" w:hAnsi="Times New Roman" w:cs="Times New Roman"/>
                <w:color w:val="000000"/>
                <w:vertAlign w:val="subscript"/>
              </w:rPr>
              <w:t>Э</w:t>
            </w:r>
            <w:r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ParaPr>
                <m:jc m:val="centerGroup"/>
              </m:oMathParaPr>
              <m:oMath>
                <m:sSub>
                  <m:sSubPr>
                    <m:ctrlPr>
                      <w:rPr>
                        <w:rFonts w:ascii="Times New Roman" w:hAnsi="Times New Roman" w:cs="Times New Roman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 w:cs="Cambria Math"/>
                        <w:sz w:val="24"/>
                        <w:szCs w:val="24"/>
                      </w:rPr>
                      <m:t>ЭДН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Cambria Math"/>
                        <w:sz w:val="24"/>
                        <w:szCs w:val="24"/>
                      </w:rPr>
                      <m:t>Э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 w:cs="Cambria Math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Times New Roman" w:hAnsi="Times New Roman" w:cs="Times New Roman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Times New Roman" w:hAnsi="Times New Roman" w:cs="Times New Roman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Cambria Math"/>
                            <w:sz w:val="24"/>
                            <w:szCs w:val="24"/>
                          </w:rPr>
                          <m:t>ДН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Cambria Math"/>
                            <w:sz w:val="24"/>
                            <w:szCs w:val="24"/>
                          </w:rPr>
                          <m:t>Э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Times New Roman" w:hAnsi="Times New Roman" w:cs="Times New Roman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Cambria Math"/>
                            <w:sz w:val="24"/>
                            <w:szCs w:val="24"/>
                          </w:rPr>
                          <m:t>Э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Cambria Math"/>
                            <w:sz w:val="24"/>
                            <w:szCs w:val="24"/>
                          </w:rPr>
                          <m:t>КМП</m:t>
                        </m:r>
                      </m:sub>
                    </m:sSub>
                  </m:den>
                </m:f>
                <m:r>
                  <m:rPr>
                    <m:sty m:val="p"/>
                  </m:rPr>
                  <w:rPr>
                    <w:rFonts w:ascii="Cambria Math" w:hAnsi="Cambria Math" w:cs="Cambria Math"/>
                    <w:sz w:val="24"/>
                    <w:szCs w:val="24"/>
                  </w:rPr>
                  <m:t>∙100%</m:t>
                </m:r>
              </m:oMath>
            </m:oMathPara>
          </w:p>
          <w:p w:rsidR="00C15C35" w:rsidRDefault="00EC0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где: </w:t>
            </w:r>
            <m:oMath>
              <m:sSub>
                <m:sSubPr>
                  <m:ctrlPr>
                    <w:rPr>
                      <w:rFonts w:ascii="Times New Roman" w:hAnsi="Times New Roman" w:cs="Times New Roman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Cambria Math"/>
                      <w:sz w:val="24"/>
                      <w:szCs w:val="24"/>
                    </w:rPr>
                    <m:t>ДН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Cambria Math"/>
                      <w:sz w:val="24"/>
                      <w:szCs w:val="24"/>
                    </w:rPr>
                    <m:t>Э</m:t>
                  </m:r>
                </m:sub>
              </m:sSub>
            </m:oMath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количество экспертиз качества медицинской помощи, оказанной в рамках диспансерного наблюдения, в которых выявлены нарушения, приведшие к ухудшению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состояния здоровья; </w:t>
            </w:r>
            <m:oMath>
              <m:sSub>
                <m:sSubPr>
                  <m:ctrlPr>
                    <w:rPr>
                      <w:rFonts w:ascii="Times New Roman" w:hAnsi="Times New Roman" w:cs="Times New Roman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Cambria Math"/>
                      <w:sz w:val="24"/>
                      <w:szCs w:val="24"/>
                    </w:rPr>
                    <m:t>Э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Cambria Math"/>
                      <w:sz w:val="24"/>
                      <w:szCs w:val="24"/>
                    </w:rPr>
                    <m:t>КМП</m:t>
                  </m:r>
                </m:sub>
              </m:sSub>
            </m:oMath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общее число проведенных экспертиз качества случаев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диспансерного наблюдения. Пп.3.15.2-3.15.3 Раздела 3 Перечня оснований для отказа в оплате медицинской помощи (уменьшения оплаты медицинской помощи), являющегося приложением к приказу Минздрава России от 19.03.2021 № 231н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Процент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Источником информации явл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яются реестры, оказанной медицинской помощи застрахованным лицам. Источником информации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являются заключения по результатам проведенных экспертиз.</w:t>
            </w:r>
          </w:p>
        </w:tc>
      </w:tr>
      <w:tr w:rsidR="00C15C35" w:rsidTr="00EC0FFE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31.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rPr>
                <w:rFonts w:ascii="TimesNewRoman" w:hAnsi="TimesNewRoman" w:cs="TimesNewRoman"/>
                <w:color w:val="000000"/>
              </w:rPr>
            </w:pPr>
            <w:r>
              <w:rPr>
                <w:rFonts w:ascii="TimesNewRoman" w:hAnsi="TimesNewRoman" w:cs="TimesNewRoman"/>
                <w:color w:val="000000"/>
              </w:rPr>
              <w:t>28.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Доля экспертиз качества медицинской помощи, в которых выявлены нарушения, приведшие к ухудшению состо</w:t>
            </w:r>
            <w:r>
              <w:rPr>
                <w:rFonts w:ascii="Times New Roman" w:hAnsi="Times New Roman" w:cs="Times New Roman"/>
                <w:color w:val="000000"/>
              </w:rPr>
              <w:t>яния здоровья застрахованного лица, от всех проведенных экспертиз качества медицинской помощи. (BHэ)</w:t>
            </w: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ParaPr>
                <m:jc m:val="centerGroup"/>
              </m:oMathParaPr>
              <m:oMath>
                <m:sSub>
                  <m:sSubPr>
                    <m:ctrlPr>
                      <w:rPr>
                        <w:rFonts w:ascii="Times New Roman" w:hAnsi="Times New Roman" w:cs="Times New Roman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 w:cs="Cambria Math"/>
                        <w:sz w:val="24"/>
                        <w:szCs w:val="24"/>
                      </w:rPr>
                      <m:t>BН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Cambria Math"/>
                        <w:sz w:val="24"/>
                        <w:szCs w:val="24"/>
                      </w:rPr>
                      <m:t>Э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 w:cs="Cambria Math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Times New Roman" w:hAnsi="Times New Roman" w:cs="Times New Roman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Times New Roman" w:hAnsi="Times New Roman" w:cs="Times New Roman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Cambria Math"/>
                            <w:sz w:val="24"/>
                            <w:szCs w:val="24"/>
                          </w:rPr>
                          <m:t>Н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Cambria Math"/>
                            <w:sz w:val="24"/>
                            <w:szCs w:val="24"/>
                          </w:rPr>
                          <m:t>Э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Times New Roman" w:hAnsi="Times New Roman" w:cs="Times New Roman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Cambria Math"/>
                            <w:sz w:val="24"/>
                            <w:szCs w:val="24"/>
                          </w:rPr>
                          <m:t>Э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Cambria Math"/>
                            <w:sz w:val="24"/>
                            <w:szCs w:val="24"/>
                          </w:rPr>
                          <m:t>КМП</m:t>
                        </m:r>
                      </m:sub>
                    </m:sSub>
                  </m:den>
                </m:f>
                <m:r>
                  <m:rPr>
                    <m:sty m:val="p"/>
                  </m:rPr>
                  <w:rPr>
                    <w:rFonts w:ascii="Cambria Math" w:hAnsi="Cambria Math" w:cs="Cambria Math"/>
                    <w:sz w:val="24"/>
                    <w:szCs w:val="24"/>
                  </w:rPr>
                  <m:t>∙100%</m:t>
                </m:r>
              </m:oMath>
            </m:oMathPara>
          </w:p>
          <w:p w:rsidR="00C15C35" w:rsidRDefault="00EC0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где: </w:t>
            </w:r>
            <m:oMath>
              <m:sSub>
                <m:sSubPr>
                  <m:ctrlPr>
                    <w:rPr>
                      <w:rFonts w:ascii="Times New Roman" w:hAnsi="Times New Roman" w:cs="Times New Roman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Cambria Math"/>
                      <w:sz w:val="24"/>
                      <w:szCs w:val="24"/>
                    </w:rPr>
                    <m:t>Н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Cambria Math"/>
                      <w:sz w:val="24"/>
                      <w:szCs w:val="24"/>
                    </w:rPr>
                    <m:t>Э</m:t>
                  </m:r>
                </m:sub>
              </m:sSub>
            </m:oMath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количество экспертиз качества медицинской помощи, в которых выявлены нарушения, приведшие к ухудшению состояния здоровья, застрахованного лица; </w:t>
            </w:r>
            <m:oMath>
              <m:sSub>
                <m:sSubPr>
                  <m:ctrlPr>
                    <w:rPr>
                      <w:rFonts w:ascii="Times New Roman" w:hAnsi="Times New Roman" w:cs="Times New Roman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Cambria Math"/>
                      <w:sz w:val="24"/>
                      <w:szCs w:val="24"/>
                    </w:rPr>
                    <m:t>Э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Cambria Math"/>
                      <w:sz w:val="24"/>
                      <w:szCs w:val="24"/>
                    </w:rPr>
                    <m:t>КМП</m:t>
                  </m:r>
                </m:sub>
              </m:sSub>
            </m:oMath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общее число проведенных экспертиз качества медицинской помощи. П.3.1.3.; п.3.2.2.; п.3.6.; п.3.14.2.; п.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3.15.2 Раздела 3 Перечня оснований для отказа в оплате медицинской помощи (уменьшения оплаты медицинской помощи), являющегося приложением к приказу Минздрава России от 19.03.2021 № 231н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Процент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Источником информации являются реестры, оказанной медицинской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помощи застрахованным лицам. Источником информации являются заключения по результатам проведенных экспертиз.</w:t>
            </w:r>
          </w:p>
        </w:tc>
      </w:tr>
      <w:tr w:rsidR="00C15C35" w:rsidTr="00EC0FFE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32.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rPr>
                <w:rFonts w:ascii="TimesNewRoman" w:hAnsi="TimesNewRoman" w:cs="TimesNewRoman"/>
                <w:color w:val="000000"/>
              </w:rPr>
            </w:pPr>
            <w:r>
              <w:rPr>
                <w:rFonts w:ascii="TimesNewRoman" w:hAnsi="TimesNewRoman" w:cs="TimesNewRoman"/>
                <w:color w:val="000000"/>
              </w:rPr>
              <w:t>29.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Доля экспертиз качества медицинской помощи, в которых выявлены нарушения, приведшие к инвалидизации</w:t>
            </w:r>
            <w:r>
              <w:rPr>
                <w:rFonts w:ascii="Times New Roman" w:hAnsi="Times New Roman" w:cs="Times New Roman"/>
                <w:color w:val="000000"/>
              </w:rPr>
              <w:t xml:space="preserve"> застрахованного лица, от всех проведенных экспертиз качества медицинской помощи. (BI</w:t>
            </w:r>
            <w:r>
              <w:rPr>
                <w:rFonts w:ascii="Times New Roman" w:hAnsi="Times New Roman" w:cs="Times New Roman"/>
                <w:color w:val="000000"/>
                <w:vertAlign w:val="subscript"/>
              </w:rPr>
              <w:t>Э</w:t>
            </w:r>
            <w:r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ParaPr>
                <m:jc m:val="centerGroup"/>
              </m:oMathParaPr>
              <m:oMath>
                <m:sSub>
                  <m:sSubPr>
                    <m:ctrlPr>
                      <w:rPr>
                        <w:rFonts w:ascii="Times New Roman" w:hAnsi="Times New Roman" w:cs="Times New Roman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 w:cs="Cambria Math"/>
                        <w:sz w:val="24"/>
                        <w:szCs w:val="24"/>
                      </w:rPr>
                      <m:t>BI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Cambria Math"/>
                        <w:sz w:val="24"/>
                        <w:szCs w:val="24"/>
                      </w:rPr>
                      <m:t>Э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 w:cs="Cambria Math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Times New Roman" w:hAnsi="Times New Roman" w:cs="Times New Roman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Times New Roman" w:hAnsi="Times New Roman" w:cs="Times New Roman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Cambria Math"/>
                            <w:sz w:val="24"/>
                            <w:szCs w:val="24"/>
                          </w:rPr>
                          <m:t>I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Cambria Math"/>
                            <w:sz w:val="24"/>
                            <w:szCs w:val="24"/>
                          </w:rPr>
                          <m:t>Э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Times New Roman" w:hAnsi="Times New Roman" w:cs="Times New Roman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Cambria Math"/>
                            <w:sz w:val="24"/>
                            <w:szCs w:val="24"/>
                          </w:rPr>
                          <m:t>Э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Cambria Math"/>
                            <w:sz w:val="24"/>
                            <w:szCs w:val="24"/>
                          </w:rPr>
                          <m:t>КМП</m:t>
                        </m:r>
                      </m:sub>
                    </m:sSub>
                  </m:den>
                </m:f>
                <m:r>
                  <m:rPr>
                    <m:sty m:val="p"/>
                  </m:rPr>
                  <w:rPr>
                    <w:rFonts w:ascii="Cambria Math" w:hAnsi="Cambria Math" w:cs="Cambria Math"/>
                    <w:sz w:val="24"/>
                    <w:szCs w:val="24"/>
                  </w:rPr>
                  <m:t>∙100%</m:t>
                </m:r>
              </m:oMath>
            </m:oMathPara>
          </w:p>
          <w:p w:rsidR="00C15C35" w:rsidRDefault="00EC0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m:oMath>
              <m:sSub>
                <m:sSubPr>
                  <m:ctrlPr>
                    <w:rPr>
                      <w:rFonts w:ascii="Times New Roman" w:hAnsi="Times New Roman" w:cs="Times New Roman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Cambria Math"/>
                      <w:sz w:val="24"/>
                      <w:szCs w:val="24"/>
                    </w:rPr>
                    <m:t>I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Cambria Math"/>
                      <w:sz w:val="24"/>
                      <w:szCs w:val="24"/>
                    </w:rPr>
                    <m:t>Э</m:t>
                  </m:r>
                </m:sub>
              </m:sSub>
            </m:oMath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экспертиз качества медицинской помощи, в которых выявлены нарушения, приведшие к инвалидизации застрахованного лица; </w:t>
            </w:r>
          </w:p>
          <w:p w:rsidR="00C15C35" w:rsidRDefault="00EC0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m:oMath>
              <m:sSub>
                <m:sSubPr>
                  <m:ctrlPr>
                    <w:rPr>
                      <w:rFonts w:ascii="Times New Roman" w:hAnsi="Times New Roman" w:cs="Times New Roman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Cambria Math"/>
                      <w:sz w:val="24"/>
                      <w:szCs w:val="24"/>
                    </w:rPr>
                    <m:t>Э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Cambria Math"/>
                      <w:sz w:val="24"/>
                      <w:szCs w:val="24"/>
                    </w:rPr>
                    <m:t>КМП</m:t>
                  </m:r>
                </m:sub>
              </m:sSub>
            </m:oMath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общее число проведенны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 экспертиз качества медицинской помощи. П.3.1.4.; п.3.2.3. Раздела 3 Перечня оснований для отказа в оплате медицинской помощи (уменьшения оплаты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медицинской помощи), являющегося приложением к приказу Минздрава России от 19.03.2021 № 231н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Процент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Источнико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 информации являются реестры, оказанной медицинской помощи застрахованным лицам. Источником информации являются заключения по результатам проведенных экспертиз.</w:t>
            </w:r>
          </w:p>
        </w:tc>
      </w:tr>
      <w:tr w:rsidR="00C15C35" w:rsidTr="00EC0FFE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33.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rPr>
                <w:rFonts w:ascii="TimesNewRoman" w:hAnsi="TimesNewRoman" w:cs="TimesNewRoman"/>
                <w:color w:val="000000"/>
              </w:rPr>
            </w:pPr>
            <w:r>
              <w:rPr>
                <w:rFonts w:ascii="TimesNewRoman" w:hAnsi="TimesNewRoman" w:cs="TimesNewRoman"/>
                <w:color w:val="000000"/>
              </w:rPr>
              <w:t>30.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Доля экспертиз качества медицинской помощи, в которых выявлены нарушения, приведшие к</w:t>
            </w:r>
            <w:r>
              <w:rPr>
                <w:rFonts w:ascii="Times New Roman" w:hAnsi="Times New Roman" w:cs="Times New Roman"/>
                <w:color w:val="000000"/>
              </w:rPr>
              <w:t xml:space="preserve"> летальному исходу застрахованного лица, от всех проведенных экспертиз качества медицинской помощи. (BVэ)</w:t>
            </w: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ParaPr>
                <m:jc m:val="centerGroup"/>
              </m:oMathParaPr>
              <m:oMath>
                <m:sSub>
                  <m:sSubPr>
                    <m:ctrlPr>
                      <w:rPr>
                        <w:rFonts w:ascii="Times New Roman" w:hAnsi="Times New Roman" w:cs="Times New Roman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 w:cs="Cambria Math"/>
                        <w:sz w:val="24"/>
                        <w:szCs w:val="24"/>
                      </w:rPr>
                      <m:t>BV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Cambria Math"/>
                        <w:sz w:val="24"/>
                        <w:szCs w:val="24"/>
                      </w:rPr>
                      <m:t>Э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 w:cs="Cambria Math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Times New Roman" w:hAnsi="Times New Roman" w:cs="Times New Roman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Times New Roman" w:hAnsi="Times New Roman" w:cs="Times New Roman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Cambria Math"/>
                            <w:sz w:val="24"/>
                            <w:szCs w:val="24"/>
                          </w:rPr>
                          <m:t>V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Cambria Math"/>
                            <w:sz w:val="24"/>
                            <w:szCs w:val="24"/>
                          </w:rPr>
                          <m:t>Э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Times New Roman" w:hAnsi="Times New Roman" w:cs="Times New Roman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Cambria Math"/>
                            <w:sz w:val="24"/>
                            <w:szCs w:val="24"/>
                          </w:rPr>
                          <m:t>Э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Cambria Math"/>
                            <w:sz w:val="24"/>
                            <w:szCs w:val="24"/>
                          </w:rPr>
                          <m:t>КМП</m:t>
                        </m:r>
                      </m:sub>
                    </m:sSub>
                  </m:den>
                </m:f>
                <m:r>
                  <m:rPr>
                    <m:sty m:val="p"/>
                  </m:rPr>
                  <w:rPr>
                    <w:rFonts w:ascii="Cambria Math" w:hAnsi="Cambria Math" w:cs="Cambria Math"/>
                    <w:sz w:val="24"/>
                    <w:szCs w:val="24"/>
                  </w:rPr>
                  <m:t>∙100%</m:t>
                </m:r>
              </m:oMath>
            </m:oMathPara>
          </w:p>
          <w:p w:rsidR="00C15C35" w:rsidRDefault="00EC0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m:oMath>
              <m:sSub>
                <m:sSubPr>
                  <m:ctrlPr>
                    <w:rPr>
                      <w:rFonts w:ascii="Times New Roman" w:hAnsi="Times New Roman" w:cs="Times New Roman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Cambria Math"/>
                      <w:sz w:val="24"/>
                      <w:szCs w:val="24"/>
                    </w:rPr>
                    <m:t>V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Cambria Math"/>
                      <w:sz w:val="24"/>
                      <w:szCs w:val="24"/>
                    </w:rPr>
                    <m:t>Э</m:t>
                  </m:r>
                </m:sub>
              </m:sSub>
            </m:oMath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экспертиз качества медицинской помощи, в которых выявлены нарушения, приведшие к летальному исходу застрахованного лица; </w:t>
            </w:r>
            <m:oMath>
              <m:sSub>
                <m:sSubPr>
                  <m:ctrlPr>
                    <w:rPr>
                      <w:rFonts w:ascii="Times New Roman" w:hAnsi="Times New Roman" w:cs="Times New Roman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Cambria Math"/>
                      <w:sz w:val="24"/>
                      <w:szCs w:val="24"/>
                    </w:rPr>
                    <m:t>Э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Cambria Math"/>
                      <w:sz w:val="24"/>
                      <w:szCs w:val="24"/>
                    </w:rPr>
                    <m:t>КМП</m:t>
                  </m:r>
                </m:sub>
              </m:sSub>
            </m:oMath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общее число проведенных экспертиз качества медицинской помощи. П.3.1.5.; п.3.2.4.; п.3.14.3.; п.3.15.3 Раздела 3 Перечня оснований для отказа в оплате медицинской помощи (уменьшения оплаты медицинской помощи), являющегося приложением к приказу Минздрава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России от 19.03.2021 № 231н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Процент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Источником информации являются реестры, оказанной медицинской помощи застрахованным лицам. Источником информации являются заключения по результатам проведенных экспертиз.</w:t>
            </w:r>
          </w:p>
        </w:tc>
      </w:tr>
      <w:tr w:rsidR="00C15C35" w:rsidTr="00EC0FFE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34.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rPr>
                <w:rFonts w:ascii="TimesNewRoman" w:hAnsi="TimesNewRoman" w:cs="TimesNewRoman"/>
                <w:color w:val="000000"/>
              </w:rPr>
            </w:pPr>
            <w:r>
              <w:rPr>
                <w:rFonts w:ascii="TimesNewRoman" w:hAnsi="TimesNewRoman" w:cs="TimesNewRoman"/>
                <w:color w:val="000000"/>
              </w:rPr>
              <w:t>31.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Необоснованный отказ застрахованным лицам в оказании медицинской помощи в соответствии с программами обязательного медицинского страхования, с последующим ухудшением состояния здоровья</w:t>
            </w: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Критерий оценки </w:t>
            </w:r>
          </w:p>
          <w:p w:rsidR="00C15C35" w:rsidRDefault="00EC0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НАРУШЕНИЯ/ОТСУТСТВИЕ НАРУШЕНИЯ</w:t>
            </w:r>
          </w:p>
          <w:p w:rsidR="00C15C35" w:rsidRDefault="00EC0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П.3.14.2. Разде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ла 3 Перечня оснований для отказа в оплате медицинской помощи (уменьшения оплаты медицинской помощи), являющегося приложением к приказу Минздрава России от 19.03.2021 № 231н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Наличие/ отсутствие нарушений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Источником информации являются реестры, оказанной ме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дицинской помощи застрахованным лицам.</w:t>
            </w:r>
          </w:p>
        </w:tc>
      </w:tr>
      <w:tr w:rsidR="00C15C35" w:rsidTr="00EC0FFE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35.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32.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Необоснованный отказ застрахованным лицам в оказании медицинской помощи в соответствии с программами обязательного медицинского страхования, приведший к летальному исходу</w:t>
            </w: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Критерий оценки</w:t>
            </w:r>
          </w:p>
          <w:p w:rsidR="00C15C35" w:rsidRDefault="00EC0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НАРУШЕНИЯ/ОТСУТСТВИЕ НАРУШЕНИЯ</w:t>
            </w:r>
          </w:p>
          <w:p w:rsidR="00C15C35" w:rsidRDefault="00EC0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П.3.14.3. Раздела 3 Перечня оснований для отказа в оплате медицинской помощи (уменьшения оплаты медицинской помощи), являющегося приложением к приказу Минздрава России от 19.03.2021 № 231н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Наличие/ отсутствие нарушени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Источником информации являются заключения по результатам проведенных экспертиз.</w:t>
            </w:r>
          </w:p>
        </w:tc>
      </w:tr>
      <w:tr w:rsidR="00C15C35" w:rsidTr="00EC0FFE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C15C35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36.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33.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Доля застрахованных лиц, которым оказывалась медицинская помощь в стационарных условиях, с впервые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выявленным диагнозом, по которому предусмотрено установление дисп</w:t>
            </w:r>
            <w:r>
              <w:rPr>
                <w:rFonts w:ascii="Times New Roman" w:hAnsi="Times New Roman" w:cs="Times New Roman"/>
                <w:color w:val="000000"/>
              </w:rPr>
              <w:t>ансерного наблюдения и получивших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в течение трех рабочих дней консультацию врача-специалиста (фельдшера фельдшерско- акушерского пункта, фельдшерского пункта при условии </w:t>
            </w:r>
            <w:r>
              <w:rPr>
                <w:rFonts w:ascii="Times New Roman" w:hAnsi="Times New Roman" w:cs="Times New Roman"/>
                <w:color w:val="000000"/>
              </w:rPr>
              <w:t>возложения на него функции лечащего врача), от застрахованных лиц, которым оказывалась медицинская помощь в стационарных условиях, с диагнозом, по которому предусмотрено установление диспансерного наблюдения (за исключением тех пациентов, которые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направлен</w:t>
            </w:r>
            <w:r>
              <w:rPr>
                <w:rFonts w:ascii="Times New Roman" w:hAnsi="Times New Roman" w:cs="Times New Roman"/>
                <w:color w:val="000000"/>
              </w:rPr>
              <w:t xml:space="preserve">ы на лечение в стационарных условиях и в условиях 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дневного стационара)</w:t>
            </w: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ГДНвперв =  СтацДНсК 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                        СтацДН         x 100,</w:t>
            </w:r>
          </w:p>
          <w:p w:rsidR="00C15C35" w:rsidRDefault="00C15C35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где: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СтацДНсК - количество застрахованных лиц, которым оказывалась медицинская помощь в стационарных условиях, с в</w:t>
            </w:r>
            <w:r>
              <w:rPr>
                <w:rFonts w:ascii="Times New Roman" w:hAnsi="Times New Roman" w:cs="Times New Roman"/>
                <w:color w:val="000000"/>
              </w:rPr>
              <w:t>первые выявленным диагнозом, по которому предусмотрено установление диспансерного наблюдения и получивших в течение 3-х рабочих дней консультацию врача-специалиста (фельдшера фельдшерско-акушерского пункта, фельдшерского пункта при условии возложения на не</w:t>
            </w:r>
            <w:r>
              <w:rPr>
                <w:rFonts w:ascii="Times New Roman" w:hAnsi="Times New Roman" w:cs="Times New Roman"/>
                <w:color w:val="000000"/>
              </w:rPr>
              <w:t>го функции лечащего врача);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СтацДН - количество застрахованных лиц, которым оказывалась медицинская помощь в стационарных условиях, с диагнозом, по которому предусмотрено установление диспансерного наблюдения (за исключением тех пациентов, которые направле</w:t>
            </w:r>
            <w:r>
              <w:rPr>
                <w:rFonts w:ascii="Times New Roman" w:hAnsi="Times New Roman" w:cs="Times New Roman"/>
                <w:color w:val="000000"/>
              </w:rPr>
              <w:t>ны на лечение в стационарных условиях и в условиях дневного стационара).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Процент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Источником информации являются реестры, оказанной медицинской помощи застрахованным лицам.</w:t>
            </w:r>
          </w:p>
          <w:p w:rsidR="00C15C35" w:rsidRDefault="00EC0FFE">
            <w:pPr>
              <w:pStyle w:val="ConsPlusNormal"/>
              <w:rPr>
                <w:rFonts w:ascii="Times New Roman" w:hAnsi="Times New Roman" w:cs="Times New Roman"/>
                <w:color w:val="000000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highlight w:val="white"/>
              </w:rPr>
              <w:t>Источником информации является информационный ресурс ТФОМС СК в части сведений о лицах, состоящих под диспансерным наблюдением.</w:t>
            </w:r>
          </w:p>
        </w:tc>
      </w:tr>
    </w:tbl>
    <w:p w:rsidR="00C15C35" w:rsidRDefault="00EC0FF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».</w:t>
      </w:r>
    </w:p>
    <w:sectPr w:rsidR="00C15C35">
      <w:headerReference w:type="default" r:id="rId19"/>
      <w:headerReference w:type="first" r:id="rId20"/>
      <w:footerReference w:type="first" r:id="rId21"/>
      <w:pgSz w:w="11906" w:h="16838"/>
      <w:pgMar w:top="1440" w:right="566" w:bottom="1440" w:left="1133" w:header="17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15C35" w:rsidRDefault="00EC0FFE">
      <w:r>
        <w:separator/>
      </w:r>
    </w:p>
  </w:endnote>
  <w:endnote w:type="continuationSeparator" w:id="0">
    <w:p w:rsidR="00C15C35" w:rsidRDefault="00EC0FFE">
      <w:r>
        <w: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">
    <w:altName w:val="Times New Roman"/>
    <w:charset w:val="00"/>
    <w:family w:val="auto"/>
    <w:pitch w:val="default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15C35" w:rsidRDefault="00C15C35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15C35" w:rsidRDefault="00EC0FFE">
      <w:r>
        <w:separator/>
      </w:r>
    </w:p>
  </w:footnote>
  <w:footnote w:type="continuationSeparator" w:id="0">
    <w:p w:rsidR="00C15C35" w:rsidRDefault="00EC0FFE">
      <w:r>
        <w:continuationSeparator/>
      </w:r>
    </w:p>
  </w:footnote>
  <w:footnote w:id="1">
    <w:p w:rsidR="00C15C35" w:rsidRDefault="00C15C3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15C35" w:rsidRDefault="00EC0FFE">
    <w:pPr>
      <w:pStyle w:val="ab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fldChar w:fldCharType="begin"/>
    </w:r>
    <w:r>
      <w:rPr>
        <w:rFonts w:ascii="Times New Roman" w:hAnsi="Times New Roman" w:cs="Times New Roman"/>
        <w:sz w:val="28"/>
        <w:szCs w:val="28"/>
      </w:rPr>
      <w:instrText>PAGE   \* MERGEFORMAT</w:instrText>
    </w:r>
    <w:r>
      <w:rPr>
        <w:rFonts w:ascii="Times New Roman" w:hAnsi="Times New Roman" w:cs="Times New Roman"/>
        <w:sz w:val="28"/>
        <w:szCs w:val="28"/>
      </w:rPr>
      <w:fldChar w:fldCharType="separate"/>
    </w:r>
    <w:r>
      <w:rPr>
        <w:rFonts w:ascii="Times New Roman" w:hAnsi="Times New Roman" w:cs="Times New Roman"/>
        <w:noProof/>
        <w:sz w:val="28"/>
        <w:szCs w:val="28"/>
      </w:rPr>
      <w:t>22</w:t>
    </w:r>
    <w:r>
      <w:rPr>
        <w:rFonts w:ascii="Times New Roman" w:hAnsi="Times New Roman" w:cs="Times New Roman"/>
        <w:sz w:val="28"/>
        <w:szCs w:val="28"/>
      </w:rPr>
      <w:fldChar w:fldCharType="end"/>
    </w:r>
  </w:p>
  <w:p w:rsidR="00C15C35" w:rsidRDefault="00C15C35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15C35" w:rsidRDefault="00C15C35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pos w:val="sectEnd"/>
    <w:endnote w:id="-1"/>
    <w:endnote w:id="0"/>
  </w:endnotePr>
  <w:compat>
    <w:balanceSingleByteDoubleByteWidth/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5C35"/>
    <w:rsid w:val="00C15C35"/>
    <w:rsid w:val="00EC0F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695A121-2EA3-4114-BC53-CAA80A8302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Calibri"/>
        <w:sz w:val="24"/>
        <w:szCs w:val="24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99"/>
    <w:qFormat/>
    <w:pPr>
      <w:widowControl w:val="0"/>
    </w:pPr>
    <w:rPr>
      <w:sz w:val="22"/>
      <w:szCs w:val="22"/>
    </w:rPr>
  </w:style>
  <w:style w:type="paragraph" w:styleId="1">
    <w:name w:val="heading 1"/>
    <w:basedOn w:val="a"/>
    <w:next w:val="a"/>
    <w:link w:val="11"/>
    <w:uiPriority w:val="9"/>
    <w:qFormat/>
    <w:pPr>
      <w:keepNext/>
      <w:keepLines/>
      <w:spacing w:before="480" w:after="200" w:line="240" w:lineRule="auto"/>
      <w:outlineLvl w:val="0"/>
    </w:pPr>
    <w:rPr>
      <w:rFonts w:ascii="Arial" w:hAnsi="Arial" w:cs="Arial"/>
      <w:sz w:val="40"/>
      <w:szCs w:val="40"/>
    </w:rPr>
  </w:style>
  <w:style w:type="paragraph" w:styleId="2">
    <w:name w:val="heading 2"/>
    <w:basedOn w:val="a"/>
    <w:next w:val="a"/>
    <w:link w:val="21"/>
    <w:uiPriority w:val="99"/>
    <w:qFormat/>
    <w:pPr>
      <w:keepNext/>
      <w:keepLines/>
      <w:spacing w:before="360" w:after="200" w:line="240" w:lineRule="auto"/>
      <w:outlineLvl w:val="1"/>
    </w:pPr>
    <w:rPr>
      <w:rFonts w:ascii="Arial" w:hAnsi="Arial" w:cs="Arial"/>
      <w:sz w:val="34"/>
      <w:szCs w:val="34"/>
    </w:rPr>
  </w:style>
  <w:style w:type="paragraph" w:styleId="3">
    <w:name w:val="heading 3"/>
    <w:basedOn w:val="a"/>
    <w:next w:val="a"/>
    <w:link w:val="31"/>
    <w:uiPriority w:val="99"/>
    <w:qFormat/>
    <w:pPr>
      <w:keepNext/>
      <w:keepLines/>
      <w:spacing w:before="320" w:after="200" w:line="240" w:lineRule="auto"/>
      <w:outlineLvl w:val="2"/>
    </w:pPr>
    <w:rPr>
      <w:rFonts w:ascii="Arial" w:hAnsi="Arial" w:cs="Arial"/>
      <w:sz w:val="30"/>
      <w:szCs w:val="30"/>
    </w:rPr>
  </w:style>
  <w:style w:type="paragraph" w:styleId="4">
    <w:name w:val="heading 4"/>
    <w:basedOn w:val="a"/>
    <w:next w:val="a"/>
    <w:link w:val="41"/>
    <w:uiPriority w:val="99"/>
    <w:qFormat/>
    <w:pPr>
      <w:keepNext/>
      <w:keepLines/>
      <w:spacing w:before="320" w:after="200" w:line="240" w:lineRule="auto"/>
      <w:outlineLvl w:val="3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1"/>
    <w:uiPriority w:val="99"/>
    <w:qFormat/>
    <w:pPr>
      <w:keepNext/>
      <w:keepLines/>
      <w:spacing w:before="320" w:after="200" w:line="240" w:lineRule="auto"/>
      <w:outlineLvl w:val="4"/>
    </w:pPr>
    <w:rPr>
      <w:rFonts w:ascii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1"/>
    <w:uiPriority w:val="99"/>
    <w:qFormat/>
    <w:pPr>
      <w:keepNext/>
      <w:keepLines/>
      <w:spacing w:before="320" w:after="200" w:line="240" w:lineRule="auto"/>
      <w:outlineLvl w:val="5"/>
    </w:pPr>
    <w:rPr>
      <w:rFonts w:ascii="Arial" w:hAnsi="Arial" w:cs="Arial"/>
      <w:b/>
      <w:bCs/>
    </w:rPr>
  </w:style>
  <w:style w:type="paragraph" w:styleId="7">
    <w:name w:val="heading 7"/>
    <w:basedOn w:val="a"/>
    <w:next w:val="a"/>
    <w:link w:val="71"/>
    <w:uiPriority w:val="99"/>
    <w:qFormat/>
    <w:pPr>
      <w:keepNext/>
      <w:keepLines/>
      <w:spacing w:before="320" w:after="200" w:line="240" w:lineRule="auto"/>
      <w:outlineLvl w:val="6"/>
    </w:pPr>
    <w:rPr>
      <w:rFonts w:ascii="Arial" w:hAnsi="Arial" w:cs="Arial"/>
      <w:b/>
      <w:bCs/>
      <w:i/>
      <w:iCs/>
    </w:rPr>
  </w:style>
  <w:style w:type="paragraph" w:styleId="8">
    <w:name w:val="heading 8"/>
    <w:basedOn w:val="a"/>
    <w:next w:val="a"/>
    <w:link w:val="81"/>
    <w:uiPriority w:val="99"/>
    <w:qFormat/>
    <w:pPr>
      <w:keepNext/>
      <w:keepLines/>
      <w:spacing w:before="320" w:after="200" w:line="240" w:lineRule="auto"/>
      <w:outlineLvl w:val="7"/>
    </w:pPr>
    <w:rPr>
      <w:rFonts w:ascii="Arial" w:hAnsi="Arial" w:cs="Arial"/>
      <w:i/>
      <w:iCs/>
    </w:rPr>
  </w:style>
  <w:style w:type="paragraph" w:styleId="9">
    <w:name w:val="heading 9"/>
    <w:basedOn w:val="a"/>
    <w:next w:val="a"/>
    <w:link w:val="91"/>
    <w:uiPriority w:val="99"/>
    <w:qFormat/>
    <w:pPr>
      <w:keepNext/>
      <w:keepLines/>
      <w:spacing w:before="320" w:after="200" w:line="240" w:lineRule="auto"/>
      <w:outlineLvl w:val="8"/>
    </w:pPr>
    <w:rPr>
      <w:rFonts w:ascii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5B9BD5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uiPriority w:val="9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11">
    <w:name w:val="Заголовок 1 Знак1"/>
    <w:basedOn w:val="a0"/>
    <w:link w:val="1"/>
    <w:uiPriority w:val="99"/>
    <w:rPr>
      <w:rFonts w:ascii="Arial" w:hAnsi="Arial" w:cs="Arial"/>
      <w:sz w:val="40"/>
      <w:szCs w:val="40"/>
    </w:rPr>
  </w:style>
  <w:style w:type="character" w:customStyle="1" w:styleId="20">
    <w:name w:val="Заголовок 2 Знак"/>
    <w:basedOn w:val="a0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21">
    <w:name w:val="Заголовок 2 Знак1"/>
    <w:basedOn w:val="a0"/>
    <w:link w:val="2"/>
    <w:uiPriority w:val="99"/>
    <w:rPr>
      <w:rFonts w:ascii="Arial" w:hAnsi="Arial" w:cs="Arial"/>
      <w:sz w:val="34"/>
      <w:szCs w:val="34"/>
    </w:rPr>
  </w:style>
  <w:style w:type="character" w:customStyle="1" w:styleId="30">
    <w:name w:val="Заголовок 3 Знак"/>
    <w:basedOn w:val="a0"/>
    <w:uiPriority w:val="9"/>
    <w:semiHidden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31">
    <w:name w:val="Заголовок 3 Знак1"/>
    <w:basedOn w:val="a0"/>
    <w:link w:val="3"/>
    <w:uiPriority w:val="99"/>
    <w:rPr>
      <w:rFonts w:ascii="Arial" w:hAnsi="Arial" w:cs="Arial"/>
      <w:sz w:val="30"/>
      <w:szCs w:val="30"/>
    </w:rPr>
  </w:style>
  <w:style w:type="character" w:customStyle="1" w:styleId="40">
    <w:name w:val="Заголовок 4 Знак"/>
    <w:basedOn w:val="a0"/>
    <w:uiPriority w:val="9"/>
    <w:semiHidden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41">
    <w:name w:val="Заголовок 4 Знак1"/>
    <w:basedOn w:val="a0"/>
    <w:link w:val="4"/>
    <w:uiPriority w:val="99"/>
    <w:rPr>
      <w:rFonts w:ascii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uiPriority w:val="9"/>
    <w:semiHidden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51">
    <w:name w:val="Заголовок 5 Знак1"/>
    <w:basedOn w:val="a0"/>
    <w:link w:val="5"/>
    <w:uiPriority w:val="99"/>
    <w:rPr>
      <w:rFonts w:ascii="Arial" w:hAnsi="Arial" w:cs="Arial"/>
      <w:b/>
      <w:bCs/>
    </w:rPr>
  </w:style>
  <w:style w:type="character" w:customStyle="1" w:styleId="60">
    <w:name w:val="Заголовок 6 Знак"/>
    <w:basedOn w:val="a0"/>
    <w:uiPriority w:val="9"/>
    <w:semiHidden/>
    <w:rPr>
      <w:rFonts w:asciiTheme="minorHAnsi" w:eastAsiaTheme="minorEastAsia" w:hAnsiTheme="minorHAnsi" w:cstheme="minorBidi"/>
      <w:b/>
      <w:bCs/>
      <w:sz w:val="22"/>
      <w:szCs w:val="22"/>
    </w:rPr>
  </w:style>
  <w:style w:type="character" w:customStyle="1" w:styleId="61">
    <w:name w:val="Заголовок 6 Знак1"/>
    <w:basedOn w:val="a0"/>
    <w:link w:val="6"/>
    <w:uiPriority w:val="99"/>
    <w:rPr>
      <w:rFonts w:ascii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uiPriority w:val="9"/>
    <w:semiHidden/>
    <w:rPr>
      <w:rFonts w:asciiTheme="minorHAnsi" w:eastAsiaTheme="minorEastAsia" w:hAnsiTheme="minorHAnsi" w:cstheme="minorBidi"/>
    </w:rPr>
  </w:style>
  <w:style w:type="character" w:customStyle="1" w:styleId="71">
    <w:name w:val="Заголовок 7 Знак1"/>
    <w:basedOn w:val="a0"/>
    <w:link w:val="7"/>
    <w:uiPriority w:val="99"/>
    <w:rPr>
      <w:rFonts w:ascii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uiPriority w:val="9"/>
    <w:semiHidden/>
    <w:rPr>
      <w:rFonts w:asciiTheme="minorHAnsi" w:eastAsiaTheme="minorEastAsia" w:hAnsiTheme="minorHAnsi" w:cstheme="minorBidi"/>
      <w:i/>
      <w:iCs/>
    </w:rPr>
  </w:style>
  <w:style w:type="character" w:customStyle="1" w:styleId="81">
    <w:name w:val="Заголовок 8 Знак1"/>
    <w:basedOn w:val="a0"/>
    <w:link w:val="8"/>
    <w:uiPriority w:val="99"/>
    <w:rPr>
      <w:rFonts w:ascii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uiPriority w:val="9"/>
    <w:semiHidden/>
    <w:rPr>
      <w:rFonts w:asciiTheme="majorHAnsi" w:eastAsiaTheme="majorEastAsia" w:hAnsiTheme="majorHAnsi" w:cstheme="majorBidi"/>
      <w:sz w:val="22"/>
      <w:szCs w:val="22"/>
    </w:rPr>
  </w:style>
  <w:style w:type="character" w:customStyle="1" w:styleId="91">
    <w:name w:val="Заголовок 9 Знак1"/>
    <w:basedOn w:val="a0"/>
    <w:link w:val="9"/>
    <w:uiPriority w:val="99"/>
    <w:rPr>
      <w:rFonts w:ascii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99"/>
    <w:qFormat/>
    <w:pPr>
      <w:spacing w:after="0" w:line="240" w:lineRule="auto"/>
      <w:ind w:left="720"/>
      <w:contextualSpacing/>
    </w:pPr>
    <w:rPr>
      <w:rFonts w:ascii="Times New Roman" w:hAnsi="Times New Roman" w:cs="Times New Roman"/>
      <w:sz w:val="24"/>
      <w:szCs w:val="24"/>
    </w:rPr>
  </w:style>
  <w:style w:type="paragraph" w:styleId="a4">
    <w:name w:val="No Spacing"/>
    <w:uiPriority w:val="99"/>
    <w:qFormat/>
    <w:pPr>
      <w:widowControl w:val="0"/>
      <w:spacing w:after="0" w:line="240" w:lineRule="auto"/>
    </w:pPr>
    <w:rPr>
      <w:rFonts w:ascii="Times New Roman" w:hAnsi="Times New Roman" w:cs="Times New Roman"/>
    </w:rPr>
  </w:style>
  <w:style w:type="paragraph" w:styleId="a5">
    <w:name w:val="Title"/>
    <w:basedOn w:val="a"/>
    <w:next w:val="a"/>
    <w:link w:val="12"/>
    <w:uiPriority w:val="99"/>
    <w:qFormat/>
    <w:pPr>
      <w:spacing w:before="300" w:after="200" w:line="240" w:lineRule="auto"/>
      <w:contextualSpacing/>
    </w:pPr>
    <w:rPr>
      <w:rFonts w:ascii="Times New Roman" w:hAnsi="Times New Roman" w:cs="Times New Roman"/>
      <w:sz w:val="48"/>
      <w:szCs w:val="48"/>
    </w:rPr>
  </w:style>
  <w:style w:type="character" w:customStyle="1" w:styleId="a6">
    <w:name w:val="Название Знак"/>
    <w:basedOn w:val="a0"/>
    <w:uiPriority w:val="10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12">
    <w:name w:val="Название Знак1"/>
    <w:basedOn w:val="a0"/>
    <w:link w:val="a5"/>
    <w:uiPriority w:val="99"/>
    <w:rPr>
      <w:sz w:val="48"/>
      <w:szCs w:val="48"/>
    </w:rPr>
  </w:style>
  <w:style w:type="paragraph" w:styleId="a7">
    <w:name w:val="Subtitle"/>
    <w:basedOn w:val="a"/>
    <w:next w:val="a"/>
    <w:link w:val="13"/>
    <w:uiPriority w:val="99"/>
    <w:qFormat/>
    <w:pPr>
      <w:spacing w:before="200" w:after="20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a8">
    <w:name w:val="Подзаголовок Знак"/>
    <w:basedOn w:val="a0"/>
    <w:uiPriority w:val="11"/>
    <w:rPr>
      <w:rFonts w:asciiTheme="majorHAnsi" w:eastAsiaTheme="majorEastAsia" w:hAnsiTheme="majorHAnsi" w:cstheme="majorBidi"/>
    </w:rPr>
  </w:style>
  <w:style w:type="character" w:customStyle="1" w:styleId="13">
    <w:name w:val="Подзаголовок Знак1"/>
    <w:basedOn w:val="a0"/>
    <w:link w:val="a7"/>
    <w:uiPriority w:val="99"/>
  </w:style>
  <w:style w:type="paragraph" w:styleId="22">
    <w:name w:val="Quote"/>
    <w:basedOn w:val="a"/>
    <w:next w:val="a"/>
    <w:link w:val="23"/>
    <w:uiPriority w:val="99"/>
    <w:qFormat/>
    <w:pPr>
      <w:spacing w:after="0" w:line="240" w:lineRule="auto"/>
      <w:ind w:left="720" w:right="720"/>
    </w:pPr>
    <w:rPr>
      <w:rFonts w:ascii="Times New Roman" w:hAnsi="Times New Roman" w:cs="Times New Roman"/>
      <w:i/>
      <w:iCs/>
      <w:sz w:val="24"/>
      <w:szCs w:val="24"/>
    </w:rPr>
  </w:style>
  <w:style w:type="paragraph" w:styleId="a9">
    <w:name w:val="Intense Quote"/>
    <w:basedOn w:val="a"/>
    <w:next w:val="a"/>
    <w:link w:val="aa"/>
    <w:uiPriority w:val="99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0" w:line="240" w:lineRule="auto"/>
      <w:ind w:left="720" w:right="720"/>
      <w:contextualSpacing/>
    </w:pPr>
    <w:rPr>
      <w:rFonts w:ascii="Times New Roman" w:hAnsi="Times New Roman" w:cs="Times New Roman"/>
      <w:i/>
      <w:iCs/>
      <w:sz w:val="24"/>
      <w:szCs w:val="24"/>
    </w:rPr>
  </w:style>
  <w:style w:type="character" w:customStyle="1" w:styleId="23">
    <w:name w:val="Цитата 2 Знак"/>
    <w:link w:val="22"/>
    <w:uiPriority w:val="99"/>
    <w:rPr>
      <w:i/>
      <w:iCs/>
    </w:rPr>
  </w:style>
  <w:style w:type="character" w:customStyle="1" w:styleId="14">
    <w:name w:val="Верхний колонтитул Знак1"/>
    <w:basedOn w:val="a0"/>
    <w:link w:val="ab"/>
    <w:uiPriority w:val="99"/>
  </w:style>
  <w:style w:type="character" w:customStyle="1" w:styleId="aa">
    <w:name w:val="Выделенная цитата Знак"/>
    <w:link w:val="a9"/>
    <w:uiPriority w:val="99"/>
    <w:rPr>
      <w:i/>
      <w:iCs/>
    </w:rPr>
  </w:style>
  <w:style w:type="character" w:customStyle="1" w:styleId="15">
    <w:name w:val="Нижний колонтитул Знак1"/>
    <w:basedOn w:val="a0"/>
    <w:link w:val="ac"/>
    <w:uiPriority w:val="99"/>
  </w:style>
  <w:style w:type="paragraph" w:styleId="ad">
    <w:name w:val="caption"/>
    <w:basedOn w:val="a"/>
    <w:next w:val="a"/>
    <w:link w:val="ae"/>
    <w:uiPriority w:val="99"/>
    <w:qFormat/>
    <w:pPr>
      <w:spacing w:after="0" w:line="276" w:lineRule="auto"/>
    </w:pPr>
    <w:rPr>
      <w:rFonts w:ascii="Times New Roman" w:hAnsi="Times New Roman" w:cs="Times New Roman"/>
      <w:b/>
      <w:bCs/>
      <w:color w:val="4F81BD"/>
      <w:sz w:val="18"/>
      <w:szCs w:val="18"/>
    </w:rPr>
  </w:style>
  <w:style w:type="character" w:customStyle="1" w:styleId="ae">
    <w:name w:val="Название объекта Знак"/>
    <w:basedOn w:val="a0"/>
    <w:link w:val="ad"/>
    <w:uiPriority w:val="99"/>
    <w:rPr>
      <w:b/>
      <w:bCs/>
      <w:color w:val="4F81BD"/>
      <w:sz w:val="18"/>
      <w:szCs w:val="18"/>
    </w:rPr>
  </w:style>
  <w:style w:type="table" w:styleId="af">
    <w:name w:val="Table Grid"/>
    <w:basedOn w:val="a1"/>
    <w:uiPriority w:val="99"/>
    <w:pPr>
      <w:widowControl w:val="0"/>
      <w:spacing w:after="0" w:line="240" w:lineRule="auto"/>
    </w:pPr>
    <w:rPr>
      <w:rFonts w:ascii="Times New Roman" w:hAnsi="Times New Roman" w:cs="Times New Roman"/>
    </w:rPr>
    <w:tblPr/>
  </w:style>
  <w:style w:type="table" w:customStyle="1" w:styleId="TableGridLight">
    <w:name w:val="Table Grid Light"/>
    <w:basedOn w:val="a1"/>
    <w:uiPriority w:val="99"/>
    <w:pPr>
      <w:widowControl w:val="0"/>
      <w:spacing w:after="0" w:line="240" w:lineRule="auto"/>
    </w:pPr>
    <w:rPr>
      <w:rFonts w:ascii="Times New Roman" w:hAnsi="Times New Roman" w:cs="Times New Roman"/>
    </w:rPr>
    <w:tblPr/>
  </w:style>
  <w:style w:type="table" w:styleId="16">
    <w:name w:val="Plain Table 1"/>
    <w:basedOn w:val="a1"/>
    <w:uiPriority w:val="99"/>
    <w:pPr>
      <w:widowControl w:val="0"/>
      <w:spacing w:after="0" w:line="240" w:lineRule="auto"/>
    </w:pPr>
    <w:rPr>
      <w:rFonts w:ascii="Times New Roman" w:hAnsi="Times New Roman" w:cs="Times New Roman"/>
    </w:rPr>
    <w:tblPr>
      <w:tblCellMar>
        <w:left w:w="0" w:type="dxa"/>
        <w:right w:w="0" w:type="dxa"/>
      </w:tblCellMar>
    </w:tblPr>
  </w:style>
  <w:style w:type="table" w:styleId="24">
    <w:name w:val="Plain Table 2"/>
    <w:basedOn w:val="a1"/>
    <w:uiPriority w:val="99"/>
    <w:pPr>
      <w:widowControl w:val="0"/>
      <w:spacing w:after="0" w:line="240" w:lineRule="auto"/>
    </w:pPr>
    <w:rPr>
      <w:rFonts w:ascii="Times New Roman" w:hAnsi="Times New Roman" w:cs="Times New Roman"/>
    </w:rPr>
    <w:tblPr>
      <w:tblCellMar>
        <w:left w:w="0" w:type="dxa"/>
        <w:right w:w="0" w:type="dxa"/>
      </w:tblCellMar>
    </w:tblPr>
  </w:style>
  <w:style w:type="table" w:styleId="32">
    <w:name w:val="Plain Table 3"/>
    <w:basedOn w:val="a1"/>
    <w:uiPriority w:val="99"/>
    <w:pPr>
      <w:widowControl w:val="0"/>
      <w:spacing w:after="0" w:line="240" w:lineRule="auto"/>
    </w:pPr>
    <w:rPr>
      <w:rFonts w:ascii="Arial" w:hAnsi="Arial" w:cs="Arial"/>
      <w:color w:val="404040"/>
      <w:sz w:val="22"/>
      <w:szCs w:val="22"/>
    </w:rPr>
    <w:tblPr>
      <w:tblCellMar>
        <w:left w:w="0" w:type="dxa"/>
        <w:right w:w="0" w:type="dxa"/>
      </w:tblCellMar>
    </w:tblPr>
  </w:style>
  <w:style w:type="table" w:styleId="42">
    <w:name w:val="Plain Table 4"/>
    <w:basedOn w:val="a1"/>
    <w:uiPriority w:val="99"/>
    <w:pPr>
      <w:widowControl w:val="0"/>
      <w:spacing w:after="0" w:line="240" w:lineRule="auto"/>
    </w:pPr>
    <w:rPr>
      <w:rFonts w:ascii="Arial" w:hAnsi="Arial" w:cs="Arial"/>
      <w:color w:val="404040"/>
      <w:sz w:val="22"/>
      <w:szCs w:val="22"/>
    </w:rPr>
    <w:tblPr>
      <w:tblCellMar>
        <w:left w:w="0" w:type="dxa"/>
        <w:right w:w="0" w:type="dxa"/>
      </w:tblCellMar>
    </w:tblPr>
  </w:style>
  <w:style w:type="table" w:styleId="52">
    <w:name w:val="Plain Table 5"/>
    <w:basedOn w:val="a1"/>
    <w:uiPriority w:val="99"/>
    <w:pPr>
      <w:widowControl w:val="0"/>
      <w:spacing w:after="0" w:line="240" w:lineRule="auto"/>
    </w:pPr>
    <w:rPr>
      <w:rFonts w:ascii="Arial" w:hAnsi="Arial" w:cs="Arial"/>
      <w:color w:val="404040"/>
      <w:sz w:val="22"/>
      <w:szCs w:val="22"/>
    </w:rPr>
    <w:tblPr>
      <w:tblCellMar>
        <w:left w:w="0" w:type="dxa"/>
        <w:right w:w="0" w:type="dxa"/>
      </w:tblCellMar>
    </w:tblPr>
  </w:style>
  <w:style w:type="table" w:styleId="-1">
    <w:name w:val="Grid Table 1 Light"/>
    <w:basedOn w:val="a1"/>
    <w:uiPriority w:val="99"/>
    <w:pPr>
      <w:widowControl w:val="0"/>
      <w:spacing w:after="0" w:line="240" w:lineRule="auto"/>
    </w:pPr>
    <w:rPr>
      <w:rFonts w:ascii="Arial" w:hAnsi="Arial" w:cs="Arial"/>
      <w:color w:val="404040"/>
      <w:sz w:val="22"/>
      <w:szCs w:val="22"/>
    </w:rPr>
    <w:tblPr>
      <w:tblCellMar>
        <w:left w:w="0" w:type="dxa"/>
        <w:right w:w="0" w:type="dxa"/>
      </w:tblCellMar>
    </w:tblPr>
  </w:style>
  <w:style w:type="table" w:customStyle="1" w:styleId="GridTable1Light-Accent1">
    <w:name w:val="Grid Table 1 Light - Accent 1"/>
    <w:basedOn w:val="a1"/>
    <w:uiPriority w:val="99"/>
    <w:pPr>
      <w:widowControl w:val="0"/>
      <w:spacing w:after="0" w:line="240" w:lineRule="auto"/>
    </w:pPr>
    <w:rPr>
      <w:rFonts w:ascii="Times New Roman" w:hAnsi="Times New Roman" w:cs="Times New Roman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GridTable1Light-Accent2">
    <w:name w:val="Grid Table 1 Light - Accent 2"/>
    <w:basedOn w:val="a1"/>
    <w:uiPriority w:val="99"/>
    <w:pPr>
      <w:widowControl w:val="0"/>
      <w:spacing w:after="0" w:line="240" w:lineRule="auto"/>
    </w:pPr>
    <w:rPr>
      <w:rFonts w:ascii="Times New Roman" w:hAnsi="Times New Roman" w:cs="Times New Roman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GridTable1Light-Accent3">
    <w:name w:val="Grid Table 1 Light - Accent 3"/>
    <w:basedOn w:val="a1"/>
    <w:uiPriority w:val="99"/>
    <w:pPr>
      <w:widowControl w:val="0"/>
      <w:spacing w:after="0" w:line="240" w:lineRule="auto"/>
    </w:pPr>
    <w:rPr>
      <w:rFonts w:ascii="Times New Roman" w:hAnsi="Times New Roman" w:cs="Times New Roman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GridTable1Light-Accent4">
    <w:name w:val="Grid Table 1 Light - Accent 4"/>
    <w:basedOn w:val="a1"/>
    <w:uiPriority w:val="99"/>
    <w:pPr>
      <w:widowControl w:val="0"/>
      <w:spacing w:after="0" w:line="240" w:lineRule="auto"/>
    </w:pPr>
    <w:rPr>
      <w:rFonts w:ascii="Times New Roman" w:hAnsi="Times New Roman" w:cs="Times New Roman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GridTable1Light-Accent5">
    <w:name w:val="Grid Table 1 Light - Accent 5"/>
    <w:basedOn w:val="a1"/>
    <w:uiPriority w:val="99"/>
    <w:pPr>
      <w:widowControl w:val="0"/>
      <w:spacing w:after="0" w:line="240" w:lineRule="auto"/>
    </w:pPr>
    <w:rPr>
      <w:rFonts w:ascii="Times New Roman" w:hAnsi="Times New Roman" w:cs="Times New Roman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GridTable1Light-Accent6">
    <w:name w:val="Grid Table 1 Light - Accent 6"/>
    <w:basedOn w:val="a1"/>
    <w:uiPriority w:val="99"/>
    <w:pPr>
      <w:widowControl w:val="0"/>
      <w:spacing w:after="0" w:line="240" w:lineRule="auto"/>
    </w:pPr>
    <w:rPr>
      <w:rFonts w:ascii="Times New Roman" w:hAnsi="Times New Roman" w:cs="Times New Roman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styleId="-2">
    <w:name w:val="Grid Table 2"/>
    <w:basedOn w:val="a1"/>
    <w:uiPriority w:val="99"/>
    <w:pPr>
      <w:widowControl w:val="0"/>
      <w:spacing w:after="0" w:line="240" w:lineRule="auto"/>
    </w:pPr>
    <w:rPr>
      <w:rFonts w:ascii="Arial" w:hAnsi="Arial" w:cs="Arial"/>
      <w:color w:val="404040"/>
      <w:sz w:val="22"/>
      <w:szCs w:val="22"/>
    </w:rPr>
    <w:tblPr>
      <w:tblCellMar>
        <w:left w:w="0" w:type="dxa"/>
        <w:right w:w="0" w:type="dxa"/>
      </w:tblCellMar>
    </w:tblPr>
  </w:style>
  <w:style w:type="table" w:customStyle="1" w:styleId="GridTable2-Accent1">
    <w:name w:val="Grid Table 2 - Accent 1"/>
    <w:basedOn w:val="a1"/>
    <w:uiPriority w:val="99"/>
    <w:pPr>
      <w:widowControl w:val="0"/>
      <w:spacing w:after="0" w:line="240" w:lineRule="auto"/>
    </w:pPr>
    <w:rPr>
      <w:rFonts w:ascii="Times New Roman" w:hAnsi="Times New Roman" w:cs="Times New Roman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GridTable2-Accent2">
    <w:name w:val="Grid Table 2 - Accent 2"/>
    <w:basedOn w:val="a1"/>
    <w:uiPriority w:val="99"/>
    <w:pPr>
      <w:widowControl w:val="0"/>
      <w:spacing w:after="0" w:line="240" w:lineRule="auto"/>
    </w:pPr>
    <w:rPr>
      <w:rFonts w:ascii="Times New Roman" w:hAnsi="Times New Roman" w:cs="Times New Roman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GridTable2-Accent3">
    <w:name w:val="Grid Table 2 - Accent 3"/>
    <w:basedOn w:val="a1"/>
    <w:uiPriority w:val="99"/>
    <w:pPr>
      <w:widowControl w:val="0"/>
      <w:spacing w:after="0" w:line="240" w:lineRule="auto"/>
    </w:pPr>
    <w:rPr>
      <w:rFonts w:ascii="Times New Roman" w:hAnsi="Times New Roman" w:cs="Times New Roman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GridTable2-Accent4">
    <w:name w:val="Grid Table 2 - Accent 4"/>
    <w:basedOn w:val="a1"/>
    <w:uiPriority w:val="99"/>
    <w:pPr>
      <w:widowControl w:val="0"/>
      <w:spacing w:after="0" w:line="240" w:lineRule="auto"/>
    </w:pPr>
    <w:rPr>
      <w:rFonts w:ascii="Times New Roman" w:hAnsi="Times New Roman" w:cs="Times New Roman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GridTable2-Accent5">
    <w:name w:val="Grid Table 2 - Accent 5"/>
    <w:basedOn w:val="a1"/>
    <w:uiPriority w:val="99"/>
    <w:pPr>
      <w:widowControl w:val="0"/>
      <w:spacing w:after="0" w:line="240" w:lineRule="auto"/>
    </w:pPr>
    <w:rPr>
      <w:rFonts w:ascii="Times New Roman" w:hAnsi="Times New Roman" w:cs="Times New Roman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GridTable2-Accent6">
    <w:name w:val="Grid Table 2 - Accent 6"/>
    <w:basedOn w:val="a1"/>
    <w:uiPriority w:val="99"/>
    <w:pPr>
      <w:widowControl w:val="0"/>
      <w:spacing w:after="0" w:line="240" w:lineRule="auto"/>
    </w:pPr>
    <w:rPr>
      <w:rFonts w:ascii="Times New Roman" w:hAnsi="Times New Roman" w:cs="Times New Roman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styleId="-3">
    <w:name w:val="Grid Table 3"/>
    <w:basedOn w:val="a1"/>
    <w:uiPriority w:val="99"/>
    <w:pPr>
      <w:widowControl w:val="0"/>
      <w:spacing w:after="0" w:line="240" w:lineRule="auto"/>
    </w:pPr>
    <w:rPr>
      <w:rFonts w:ascii="Arial" w:hAnsi="Arial" w:cs="Arial"/>
      <w:color w:val="404040"/>
      <w:sz w:val="22"/>
      <w:szCs w:val="22"/>
    </w:rPr>
    <w:tblPr>
      <w:tblCellMar>
        <w:left w:w="0" w:type="dxa"/>
        <w:right w:w="0" w:type="dxa"/>
      </w:tblCellMar>
    </w:tblPr>
  </w:style>
  <w:style w:type="table" w:customStyle="1" w:styleId="GridTable3-Accent1">
    <w:name w:val="Grid Table 3 - Accent 1"/>
    <w:basedOn w:val="a1"/>
    <w:uiPriority w:val="99"/>
    <w:pPr>
      <w:widowControl w:val="0"/>
      <w:spacing w:after="0" w:line="240" w:lineRule="auto"/>
    </w:pPr>
    <w:rPr>
      <w:rFonts w:ascii="Times New Roman" w:hAnsi="Times New Roman" w:cs="Times New Roman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GridTable3-Accent2">
    <w:name w:val="Grid Table 3 - Accent 2"/>
    <w:basedOn w:val="a1"/>
    <w:uiPriority w:val="99"/>
    <w:pPr>
      <w:widowControl w:val="0"/>
      <w:spacing w:after="0" w:line="240" w:lineRule="auto"/>
    </w:pPr>
    <w:rPr>
      <w:rFonts w:ascii="Times New Roman" w:hAnsi="Times New Roman" w:cs="Times New Roman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GridTable3-Accent3">
    <w:name w:val="Grid Table 3 - Accent 3"/>
    <w:basedOn w:val="a1"/>
    <w:uiPriority w:val="99"/>
    <w:pPr>
      <w:widowControl w:val="0"/>
      <w:spacing w:after="0" w:line="240" w:lineRule="auto"/>
    </w:pPr>
    <w:rPr>
      <w:rFonts w:ascii="Times New Roman" w:hAnsi="Times New Roman" w:cs="Times New Roman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GridTable3-Accent4">
    <w:name w:val="Grid Table 3 - Accent 4"/>
    <w:basedOn w:val="a1"/>
    <w:uiPriority w:val="99"/>
    <w:pPr>
      <w:widowControl w:val="0"/>
      <w:spacing w:after="0" w:line="240" w:lineRule="auto"/>
    </w:pPr>
    <w:rPr>
      <w:rFonts w:ascii="Times New Roman" w:hAnsi="Times New Roman" w:cs="Times New Roman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GridTable3-Accent5">
    <w:name w:val="Grid Table 3 - Accent 5"/>
    <w:basedOn w:val="a1"/>
    <w:uiPriority w:val="99"/>
    <w:pPr>
      <w:widowControl w:val="0"/>
      <w:spacing w:after="0" w:line="240" w:lineRule="auto"/>
    </w:pPr>
    <w:rPr>
      <w:rFonts w:ascii="Times New Roman" w:hAnsi="Times New Roman" w:cs="Times New Roman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GridTable3-Accent6">
    <w:name w:val="Grid Table 3 - Accent 6"/>
    <w:basedOn w:val="a1"/>
    <w:uiPriority w:val="99"/>
    <w:pPr>
      <w:widowControl w:val="0"/>
      <w:spacing w:after="0" w:line="240" w:lineRule="auto"/>
    </w:pPr>
    <w:rPr>
      <w:rFonts w:ascii="Times New Roman" w:hAnsi="Times New Roman" w:cs="Times New Roman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styleId="-4">
    <w:name w:val="Grid Table 4"/>
    <w:basedOn w:val="a1"/>
    <w:uiPriority w:val="99"/>
    <w:pPr>
      <w:widowControl w:val="0"/>
      <w:spacing w:after="0" w:line="240" w:lineRule="auto"/>
    </w:pPr>
    <w:rPr>
      <w:rFonts w:ascii="Arial" w:hAnsi="Arial" w:cs="Arial"/>
      <w:color w:val="404040"/>
      <w:sz w:val="22"/>
      <w:szCs w:val="22"/>
    </w:rPr>
    <w:tblPr>
      <w:tblCellMar>
        <w:left w:w="0" w:type="dxa"/>
        <w:right w:w="0" w:type="dxa"/>
      </w:tblCellMar>
    </w:tblPr>
  </w:style>
  <w:style w:type="table" w:customStyle="1" w:styleId="GridTable4-Accent1">
    <w:name w:val="Grid Table 4 - Accent 1"/>
    <w:basedOn w:val="a1"/>
    <w:uiPriority w:val="99"/>
    <w:pPr>
      <w:widowControl w:val="0"/>
      <w:spacing w:after="0" w:line="240" w:lineRule="auto"/>
    </w:pPr>
    <w:rPr>
      <w:rFonts w:ascii="Times New Roman" w:hAnsi="Times New Roman" w:cs="Times New Roman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GridTable4-Accent2">
    <w:name w:val="Grid Table 4 - Accent 2"/>
    <w:basedOn w:val="a1"/>
    <w:uiPriority w:val="99"/>
    <w:pPr>
      <w:widowControl w:val="0"/>
      <w:spacing w:after="0" w:line="240" w:lineRule="auto"/>
    </w:pPr>
    <w:rPr>
      <w:rFonts w:ascii="Times New Roman" w:hAnsi="Times New Roman" w:cs="Times New Roman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GridTable4-Accent3">
    <w:name w:val="Grid Table 4 - Accent 3"/>
    <w:basedOn w:val="a1"/>
    <w:uiPriority w:val="99"/>
    <w:pPr>
      <w:widowControl w:val="0"/>
      <w:spacing w:after="0" w:line="240" w:lineRule="auto"/>
    </w:pPr>
    <w:rPr>
      <w:rFonts w:ascii="Times New Roman" w:hAnsi="Times New Roman" w:cs="Times New Roman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GridTable4-Accent4">
    <w:name w:val="Grid Table 4 - Accent 4"/>
    <w:basedOn w:val="a1"/>
    <w:uiPriority w:val="99"/>
    <w:pPr>
      <w:widowControl w:val="0"/>
      <w:spacing w:after="0" w:line="240" w:lineRule="auto"/>
    </w:pPr>
    <w:rPr>
      <w:rFonts w:ascii="Times New Roman" w:hAnsi="Times New Roman" w:cs="Times New Roman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GridTable4-Accent5">
    <w:name w:val="Grid Table 4 - Accent 5"/>
    <w:basedOn w:val="a1"/>
    <w:uiPriority w:val="99"/>
    <w:pPr>
      <w:widowControl w:val="0"/>
      <w:spacing w:after="0" w:line="240" w:lineRule="auto"/>
    </w:pPr>
    <w:rPr>
      <w:rFonts w:ascii="Times New Roman" w:hAnsi="Times New Roman" w:cs="Times New Roman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GridTable4-Accent6">
    <w:name w:val="Grid Table 4 - Accent 6"/>
    <w:basedOn w:val="a1"/>
    <w:uiPriority w:val="99"/>
    <w:pPr>
      <w:widowControl w:val="0"/>
      <w:spacing w:after="0" w:line="240" w:lineRule="auto"/>
    </w:pPr>
    <w:rPr>
      <w:rFonts w:ascii="Times New Roman" w:hAnsi="Times New Roman" w:cs="Times New Roman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styleId="-5">
    <w:name w:val="Grid Table 5 Dark"/>
    <w:basedOn w:val="a1"/>
    <w:uiPriority w:val="99"/>
    <w:pPr>
      <w:widowControl w:val="0"/>
      <w:spacing w:after="0" w:line="240" w:lineRule="auto"/>
    </w:pPr>
    <w:rPr>
      <w:rFonts w:ascii="Times New Roman" w:hAnsi="Times New Roman" w:cs="Times New Roman"/>
    </w:rPr>
    <w:tblPr>
      <w:tblCellMar>
        <w:left w:w="0" w:type="dxa"/>
        <w:right w:w="0" w:type="dxa"/>
      </w:tblCellMar>
    </w:tblPr>
  </w:style>
  <w:style w:type="table" w:customStyle="1" w:styleId="GridTable5Dark-Accent1">
    <w:name w:val="Grid Table 5 Dark- Accent 1"/>
    <w:basedOn w:val="a1"/>
    <w:uiPriority w:val="99"/>
    <w:pPr>
      <w:widowControl w:val="0"/>
      <w:spacing w:after="0" w:line="240" w:lineRule="auto"/>
    </w:pPr>
    <w:rPr>
      <w:rFonts w:ascii="Times New Roman" w:hAnsi="Times New Roman" w:cs="Times New Roman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GridTable5Dark-Accent2">
    <w:name w:val="Grid Table 5 Dark - Accent 2"/>
    <w:basedOn w:val="a1"/>
    <w:uiPriority w:val="99"/>
    <w:pPr>
      <w:widowControl w:val="0"/>
      <w:spacing w:after="0" w:line="240" w:lineRule="auto"/>
    </w:pPr>
    <w:rPr>
      <w:rFonts w:ascii="Times New Roman" w:hAnsi="Times New Roman" w:cs="Times New Roman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GridTable5Dark-Accent3">
    <w:name w:val="Grid Table 5 Dark - Accent 3"/>
    <w:basedOn w:val="a1"/>
    <w:uiPriority w:val="99"/>
    <w:pPr>
      <w:widowControl w:val="0"/>
      <w:spacing w:after="0" w:line="240" w:lineRule="auto"/>
    </w:pPr>
    <w:rPr>
      <w:rFonts w:ascii="Times New Roman" w:hAnsi="Times New Roman" w:cs="Times New Roman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GridTable5Dark-Accent4">
    <w:name w:val="Grid Table 5 Dark- Accent 4"/>
    <w:basedOn w:val="a1"/>
    <w:uiPriority w:val="99"/>
    <w:pPr>
      <w:widowControl w:val="0"/>
      <w:spacing w:after="0" w:line="240" w:lineRule="auto"/>
    </w:pPr>
    <w:rPr>
      <w:rFonts w:ascii="Times New Roman" w:hAnsi="Times New Roman" w:cs="Times New Roman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GridTable5Dark-Accent5">
    <w:name w:val="Grid Table 5 Dark - Accent 5"/>
    <w:basedOn w:val="a1"/>
    <w:uiPriority w:val="99"/>
    <w:pPr>
      <w:widowControl w:val="0"/>
      <w:spacing w:after="0" w:line="240" w:lineRule="auto"/>
    </w:pPr>
    <w:rPr>
      <w:rFonts w:ascii="Times New Roman" w:hAnsi="Times New Roman" w:cs="Times New Roman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GridTable5Dark-Accent6">
    <w:name w:val="Grid Table 5 Dark - Accent 6"/>
    <w:basedOn w:val="a1"/>
    <w:uiPriority w:val="99"/>
    <w:pPr>
      <w:widowControl w:val="0"/>
      <w:spacing w:after="0" w:line="240" w:lineRule="auto"/>
    </w:pPr>
    <w:rPr>
      <w:rFonts w:ascii="Times New Roman" w:hAnsi="Times New Roman" w:cs="Times New Roman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styleId="-6">
    <w:name w:val="Grid Table 6 Colorful"/>
    <w:basedOn w:val="a1"/>
    <w:uiPriority w:val="99"/>
    <w:pPr>
      <w:widowControl w:val="0"/>
      <w:spacing w:after="0" w:line="240" w:lineRule="auto"/>
    </w:pPr>
    <w:rPr>
      <w:rFonts w:ascii="Times New Roman" w:hAnsi="Times New Roman" w:cs="Times New Roman"/>
    </w:rPr>
    <w:tblPr>
      <w:tblCellMar>
        <w:left w:w="0" w:type="dxa"/>
        <w:right w:w="0" w:type="dxa"/>
      </w:tblCellMar>
    </w:tblPr>
  </w:style>
  <w:style w:type="table" w:customStyle="1" w:styleId="GridTable6Colorful-Accent1">
    <w:name w:val="Grid Table 6 Colorful - Accent 1"/>
    <w:basedOn w:val="a1"/>
    <w:uiPriority w:val="99"/>
    <w:pPr>
      <w:widowControl w:val="0"/>
      <w:spacing w:after="0" w:line="240" w:lineRule="auto"/>
    </w:pPr>
    <w:rPr>
      <w:rFonts w:ascii="Times New Roman" w:hAnsi="Times New Roman" w:cs="Times New Roman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GridTable6Colorful-Accent2">
    <w:name w:val="Grid Table 6 Colorful - Accent 2"/>
    <w:basedOn w:val="a1"/>
    <w:uiPriority w:val="99"/>
    <w:pPr>
      <w:widowControl w:val="0"/>
      <w:spacing w:after="0" w:line="240" w:lineRule="auto"/>
    </w:pPr>
    <w:rPr>
      <w:rFonts w:ascii="Times New Roman" w:hAnsi="Times New Roman" w:cs="Times New Roman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GridTable6Colorful-Accent3">
    <w:name w:val="Grid Table 6 Colorful - Accent 3"/>
    <w:basedOn w:val="a1"/>
    <w:uiPriority w:val="99"/>
    <w:pPr>
      <w:widowControl w:val="0"/>
      <w:spacing w:after="0" w:line="240" w:lineRule="auto"/>
    </w:pPr>
    <w:rPr>
      <w:rFonts w:ascii="Times New Roman" w:hAnsi="Times New Roman" w:cs="Times New Roman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GridTable6Colorful-Accent4">
    <w:name w:val="Grid Table 6 Colorful - Accent 4"/>
    <w:basedOn w:val="a1"/>
    <w:uiPriority w:val="99"/>
    <w:pPr>
      <w:widowControl w:val="0"/>
      <w:spacing w:after="0" w:line="240" w:lineRule="auto"/>
    </w:pPr>
    <w:rPr>
      <w:rFonts w:ascii="Times New Roman" w:hAnsi="Times New Roman" w:cs="Times New Roman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GridTable6Colorful-Accent5">
    <w:name w:val="Grid Table 6 Colorful - Accent 5"/>
    <w:basedOn w:val="a1"/>
    <w:uiPriority w:val="99"/>
    <w:pPr>
      <w:widowControl w:val="0"/>
      <w:spacing w:after="0" w:line="240" w:lineRule="auto"/>
    </w:pPr>
    <w:rPr>
      <w:rFonts w:ascii="Times New Roman" w:hAnsi="Times New Roman" w:cs="Times New Roman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GridTable6Colorful-Accent6">
    <w:name w:val="Grid Table 6 Colorful - Accent 6"/>
    <w:basedOn w:val="a1"/>
    <w:uiPriority w:val="99"/>
    <w:pPr>
      <w:widowControl w:val="0"/>
      <w:spacing w:after="0" w:line="240" w:lineRule="auto"/>
    </w:pPr>
    <w:rPr>
      <w:rFonts w:ascii="Times New Roman" w:hAnsi="Times New Roman" w:cs="Times New Roman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styleId="-7">
    <w:name w:val="Grid Table 7 Colorful"/>
    <w:basedOn w:val="a1"/>
    <w:uiPriority w:val="99"/>
    <w:pPr>
      <w:widowControl w:val="0"/>
      <w:spacing w:after="0" w:line="240" w:lineRule="auto"/>
    </w:pPr>
    <w:rPr>
      <w:rFonts w:ascii="Times New Roman" w:hAnsi="Times New Roman" w:cs="Times New Roman"/>
    </w:rPr>
    <w:tblPr>
      <w:tblCellMar>
        <w:left w:w="0" w:type="dxa"/>
        <w:right w:w="0" w:type="dxa"/>
      </w:tblCellMar>
    </w:tblPr>
  </w:style>
  <w:style w:type="table" w:customStyle="1" w:styleId="GridTable7Colorful-Accent1">
    <w:name w:val="Grid Table 7 Colorful - Accent 1"/>
    <w:basedOn w:val="a1"/>
    <w:uiPriority w:val="99"/>
    <w:pPr>
      <w:widowControl w:val="0"/>
      <w:spacing w:after="0" w:line="240" w:lineRule="auto"/>
    </w:pPr>
    <w:rPr>
      <w:rFonts w:ascii="Times New Roman" w:hAnsi="Times New Roman" w:cs="Times New Roman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GridTable7Colorful-Accent2">
    <w:name w:val="Grid Table 7 Colorful - Accent 2"/>
    <w:basedOn w:val="a1"/>
    <w:uiPriority w:val="99"/>
    <w:pPr>
      <w:widowControl w:val="0"/>
      <w:spacing w:after="0" w:line="240" w:lineRule="auto"/>
    </w:pPr>
    <w:rPr>
      <w:rFonts w:ascii="Times New Roman" w:hAnsi="Times New Roman" w:cs="Times New Roman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GridTable7Colorful-Accent3">
    <w:name w:val="Grid Table 7 Colorful - Accent 3"/>
    <w:basedOn w:val="a1"/>
    <w:uiPriority w:val="99"/>
    <w:pPr>
      <w:widowControl w:val="0"/>
      <w:spacing w:after="0" w:line="240" w:lineRule="auto"/>
    </w:pPr>
    <w:rPr>
      <w:rFonts w:ascii="Times New Roman" w:hAnsi="Times New Roman" w:cs="Times New Roman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GridTable7Colorful-Accent4">
    <w:name w:val="Grid Table 7 Colorful - Accent 4"/>
    <w:basedOn w:val="a1"/>
    <w:uiPriority w:val="99"/>
    <w:pPr>
      <w:widowControl w:val="0"/>
      <w:spacing w:after="0" w:line="240" w:lineRule="auto"/>
    </w:pPr>
    <w:rPr>
      <w:rFonts w:ascii="Times New Roman" w:hAnsi="Times New Roman" w:cs="Times New Roman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GridTable7Colorful-Accent5">
    <w:name w:val="Grid Table 7 Colorful - Accent 5"/>
    <w:basedOn w:val="a1"/>
    <w:uiPriority w:val="99"/>
    <w:pPr>
      <w:widowControl w:val="0"/>
      <w:spacing w:after="0" w:line="240" w:lineRule="auto"/>
    </w:pPr>
    <w:rPr>
      <w:rFonts w:ascii="Times New Roman" w:hAnsi="Times New Roman" w:cs="Times New Roman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GridTable7Colorful-Accent6">
    <w:name w:val="Grid Table 7 Colorful - Accent 6"/>
    <w:basedOn w:val="a1"/>
    <w:uiPriority w:val="99"/>
    <w:pPr>
      <w:widowControl w:val="0"/>
      <w:spacing w:after="0" w:line="240" w:lineRule="auto"/>
    </w:pPr>
    <w:rPr>
      <w:rFonts w:ascii="Times New Roman" w:hAnsi="Times New Roman" w:cs="Times New Roman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styleId="-10">
    <w:name w:val="List Table 1 Light"/>
    <w:basedOn w:val="a1"/>
    <w:uiPriority w:val="99"/>
    <w:pPr>
      <w:widowControl w:val="0"/>
      <w:spacing w:after="0" w:line="240" w:lineRule="auto"/>
    </w:pPr>
    <w:rPr>
      <w:rFonts w:ascii="Times New Roman" w:hAnsi="Times New Roman" w:cs="Times New Roman"/>
    </w:rPr>
    <w:tblPr>
      <w:tblCellMar>
        <w:left w:w="0" w:type="dxa"/>
        <w:right w:w="0" w:type="dxa"/>
      </w:tblCellMar>
    </w:tblPr>
  </w:style>
  <w:style w:type="table" w:customStyle="1" w:styleId="ListTable1Light-Accent1">
    <w:name w:val="List Table 1 Light - Accent 1"/>
    <w:basedOn w:val="a1"/>
    <w:uiPriority w:val="99"/>
    <w:pPr>
      <w:widowControl w:val="0"/>
      <w:spacing w:after="0" w:line="240" w:lineRule="auto"/>
    </w:pPr>
    <w:rPr>
      <w:rFonts w:ascii="Times New Roman" w:hAnsi="Times New Roman" w:cs="Times New Roman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ListTable1Light-Accent2">
    <w:name w:val="List Table 1 Light - Accent 2"/>
    <w:basedOn w:val="a1"/>
    <w:uiPriority w:val="99"/>
    <w:pPr>
      <w:widowControl w:val="0"/>
      <w:spacing w:after="0" w:line="240" w:lineRule="auto"/>
    </w:pPr>
    <w:rPr>
      <w:rFonts w:ascii="Times New Roman" w:hAnsi="Times New Roman" w:cs="Times New Roman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ListTable1Light-Accent3">
    <w:name w:val="List Table 1 Light - Accent 3"/>
    <w:basedOn w:val="a1"/>
    <w:uiPriority w:val="99"/>
    <w:pPr>
      <w:widowControl w:val="0"/>
      <w:spacing w:after="0" w:line="240" w:lineRule="auto"/>
    </w:pPr>
    <w:rPr>
      <w:rFonts w:ascii="Times New Roman" w:hAnsi="Times New Roman" w:cs="Times New Roman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ListTable1Light-Accent4">
    <w:name w:val="List Table 1 Light - Accent 4"/>
    <w:basedOn w:val="a1"/>
    <w:uiPriority w:val="99"/>
    <w:pPr>
      <w:widowControl w:val="0"/>
      <w:spacing w:after="0" w:line="240" w:lineRule="auto"/>
    </w:pPr>
    <w:rPr>
      <w:rFonts w:ascii="Times New Roman" w:hAnsi="Times New Roman" w:cs="Times New Roman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ListTable1Light-Accent5">
    <w:name w:val="List Table 1 Light - Accent 5"/>
    <w:basedOn w:val="a1"/>
    <w:uiPriority w:val="99"/>
    <w:pPr>
      <w:widowControl w:val="0"/>
      <w:spacing w:after="0" w:line="240" w:lineRule="auto"/>
    </w:pPr>
    <w:rPr>
      <w:rFonts w:ascii="Times New Roman" w:hAnsi="Times New Roman" w:cs="Times New Roman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ListTable1Light-Accent6">
    <w:name w:val="List Table 1 Light - Accent 6"/>
    <w:basedOn w:val="a1"/>
    <w:uiPriority w:val="99"/>
    <w:pPr>
      <w:widowControl w:val="0"/>
      <w:spacing w:after="0" w:line="240" w:lineRule="auto"/>
    </w:pPr>
    <w:rPr>
      <w:rFonts w:ascii="Times New Roman" w:hAnsi="Times New Roman" w:cs="Times New Roman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styleId="-20">
    <w:name w:val="List Table 2"/>
    <w:basedOn w:val="a1"/>
    <w:uiPriority w:val="99"/>
    <w:pPr>
      <w:widowControl w:val="0"/>
      <w:spacing w:after="0" w:line="240" w:lineRule="auto"/>
    </w:pPr>
    <w:rPr>
      <w:rFonts w:ascii="Arial" w:hAnsi="Arial" w:cs="Arial"/>
      <w:color w:val="404040"/>
      <w:sz w:val="22"/>
      <w:szCs w:val="22"/>
    </w:rPr>
    <w:tblPr>
      <w:tblCellMar>
        <w:left w:w="0" w:type="dxa"/>
        <w:right w:w="0" w:type="dxa"/>
      </w:tblCellMar>
    </w:tblPr>
  </w:style>
  <w:style w:type="table" w:customStyle="1" w:styleId="ListTable2-Accent1">
    <w:name w:val="List Table 2 - Accent 1"/>
    <w:basedOn w:val="a1"/>
    <w:uiPriority w:val="99"/>
    <w:pPr>
      <w:widowControl w:val="0"/>
      <w:spacing w:after="0" w:line="240" w:lineRule="auto"/>
    </w:pPr>
    <w:rPr>
      <w:rFonts w:ascii="Times New Roman" w:hAnsi="Times New Roman" w:cs="Times New Roman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ListTable2-Accent2">
    <w:name w:val="List Table 2 - Accent 2"/>
    <w:basedOn w:val="a1"/>
    <w:uiPriority w:val="99"/>
    <w:pPr>
      <w:widowControl w:val="0"/>
      <w:spacing w:after="0" w:line="240" w:lineRule="auto"/>
    </w:pPr>
    <w:rPr>
      <w:rFonts w:ascii="Times New Roman" w:hAnsi="Times New Roman" w:cs="Times New Roman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ListTable2-Accent3">
    <w:name w:val="List Table 2 - Accent 3"/>
    <w:basedOn w:val="a1"/>
    <w:uiPriority w:val="99"/>
    <w:pPr>
      <w:widowControl w:val="0"/>
      <w:spacing w:after="0" w:line="240" w:lineRule="auto"/>
    </w:pPr>
    <w:rPr>
      <w:rFonts w:ascii="Times New Roman" w:hAnsi="Times New Roman" w:cs="Times New Roman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ListTable2-Accent4">
    <w:name w:val="List Table 2 - Accent 4"/>
    <w:basedOn w:val="a1"/>
    <w:uiPriority w:val="99"/>
    <w:pPr>
      <w:widowControl w:val="0"/>
      <w:spacing w:after="0" w:line="240" w:lineRule="auto"/>
    </w:pPr>
    <w:rPr>
      <w:rFonts w:ascii="Times New Roman" w:hAnsi="Times New Roman" w:cs="Times New Roman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ListTable2-Accent5">
    <w:name w:val="List Table 2 - Accent 5"/>
    <w:basedOn w:val="a1"/>
    <w:uiPriority w:val="99"/>
    <w:pPr>
      <w:widowControl w:val="0"/>
      <w:spacing w:after="0" w:line="240" w:lineRule="auto"/>
    </w:pPr>
    <w:rPr>
      <w:rFonts w:ascii="Times New Roman" w:hAnsi="Times New Roman" w:cs="Times New Roman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ListTable2-Accent6">
    <w:name w:val="List Table 2 - Accent 6"/>
    <w:basedOn w:val="a1"/>
    <w:uiPriority w:val="99"/>
    <w:pPr>
      <w:widowControl w:val="0"/>
      <w:spacing w:after="0" w:line="240" w:lineRule="auto"/>
    </w:pPr>
    <w:rPr>
      <w:rFonts w:ascii="Times New Roman" w:hAnsi="Times New Roman" w:cs="Times New Roman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styleId="-30">
    <w:name w:val="List Table 3"/>
    <w:basedOn w:val="a1"/>
    <w:uiPriority w:val="99"/>
    <w:pPr>
      <w:widowControl w:val="0"/>
      <w:spacing w:after="0" w:line="240" w:lineRule="auto"/>
    </w:pPr>
    <w:rPr>
      <w:rFonts w:ascii="Arial" w:hAnsi="Arial" w:cs="Arial"/>
      <w:color w:val="404040"/>
      <w:sz w:val="22"/>
      <w:szCs w:val="22"/>
    </w:rPr>
    <w:tblPr>
      <w:tblCellMar>
        <w:left w:w="0" w:type="dxa"/>
        <w:right w:w="0" w:type="dxa"/>
      </w:tblCellMar>
    </w:tblPr>
  </w:style>
  <w:style w:type="table" w:customStyle="1" w:styleId="ListTable3-Accent1">
    <w:name w:val="List Table 3 - Accent 1"/>
    <w:basedOn w:val="a1"/>
    <w:uiPriority w:val="99"/>
    <w:pPr>
      <w:widowControl w:val="0"/>
      <w:spacing w:after="0" w:line="240" w:lineRule="auto"/>
    </w:pPr>
    <w:rPr>
      <w:rFonts w:ascii="Times New Roman" w:hAnsi="Times New Roman" w:cs="Times New Roman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ListTable3-Accent2">
    <w:name w:val="List Table 3 - Accent 2"/>
    <w:basedOn w:val="a1"/>
    <w:uiPriority w:val="99"/>
    <w:pPr>
      <w:widowControl w:val="0"/>
      <w:spacing w:after="0" w:line="240" w:lineRule="auto"/>
    </w:pPr>
    <w:rPr>
      <w:rFonts w:ascii="Times New Roman" w:hAnsi="Times New Roman" w:cs="Times New Roman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ListTable3-Accent3">
    <w:name w:val="List Table 3 - Accent 3"/>
    <w:basedOn w:val="a1"/>
    <w:uiPriority w:val="99"/>
    <w:pPr>
      <w:widowControl w:val="0"/>
      <w:spacing w:after="0" w:line="240" w:lineRule="auto"/>
    </w:pPr>
    <w:rPr>
      <w:rFonts w:ascii="Times New Roman" w:hAnsi="Times New Roman" w:cs="Times New Roman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ListTable3-Accent4">
    <w:name w:val="List Table 3 - Accent 4"/>
    <w:basedOn w:val="a1"/>
    <w:uiPriority w:val="99"/>
    <w:pPr>
      <w:widowControl w:val="0"/>
      <w:spacing w:after="0" w:line="240" w:lineRule="auto"/>
    </w:pPr>
    <w:rPr>
      <w:rFonts w:ascii="Times New Roman" w:hAnsi="Times New Roman" w:cs="Times New Roman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ListTable3-Accent5">
    <w:name w:val="List Table 3 - Accent 5"/>
    <w:basedOn w:val="a1"/>
    <w:uiPriority w:val="99"/>
    <w:pPr>
      <w:widowControl w:val="0"/>
      <w:spacing w:after="0" w:line="240" w:lineRule="auto"/>
    </w:pPr>
    <w:rPr>
      <w:rFonts w:ascii="Times New Roman" w:hAnsi="Times New Roman" w:cs="Times New Roman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ListTable3-Accent6">
    <w:name w:val="List Table 3 - Accent 6"/>
    <w:basedOn w:val="a1"/>
    <w:uiPriority w:val="99"/>
    <w:pPr>
      <w:widowControl w:val="0"/>
      <w:spacing w:after="0" w:line="240" w:lineRule="auto"/>
    </w:pPr>
    <w:rPr>
      <w:rFonts w:ascii="Times New Roman" w:hAnsi="Times New Roman" w:cs="Times New Roman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styleId="-40">
    <w:name w:val="List Table 4"/>
    <w:basedOn w:val="a1"/>
    <w:uiPriority w:val="99"/>
    <w:pPr>
      <w:widowControl w:val="0"/>
      <w:spacing w:after="0" w:line="240" w:lineRule="auto"/>
    </w:pPr>
    <w:rPr>
      <w:rFonts w:ascii="Arial" w:hAnsi="Arial" w:cs="Arial"/>
      <w:color w:val="404040"/>
      <w:sz w:val="22"/>
      <w:szCs w:val="22"/>
    </w:rPr>
    <w:tblPr>
      <w:tblCellMar>
        <w:left w:w="0" w:type="dxa"/>
        <w:right w:w="0" w:type="dxa"/>
      </w:tblCellMar>
    </w:tblPr>
  </w:style>
  <w:style w:type="table" w:customStyle="1" w:styleId="ListTable4-Accent1">
    <w:name w:val="List Table 4 - Accent 1"/>
    <w:basedOn w:val="a1"/>
    <w:uiPriority w:val="99"/>
    <w:pPr>
      <w:widowControl w:val="0"/>
      <w:spacing w:after="0" w:line="240" w:lineRule="auto"/>
    </w:pPr>
    <w:rPr>
      <w:rFonts w:ascii="Times New Roman" w:hAnsi="Times New Roman" w:cs="Times New Roman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ListTable4-Accent2">
    <w:name w:val="List Table 4 - Accent 2"/>
    <w:basedOn w:val="a1"/>
    <w:uiPriority w:val="99"/>
    <w:pPr>
      <w:widowControl w:val="0"/>
      <w:spacing w:after="0" w:line="240" w:lineRule="auto"/>
    </w:pPr>
    <w:rPr>
      <w:rFonts w:ascii="Times New Roman" w:hAnsi="Times New Roman" w:cs="Times New Roman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ListTable4-Accent3">
    <w:name w:val="List Table 4 - Accent 3"/>
    <w:basedOn w:val="a1"/>
    <w:uiPriority w:val="99"/>
    <w:pPr>
      <w:widowControl w:val="0"/>
      <w:spacing w:after="0" w:line="240" w:lineRule="auto"/>
    </w:pPr>
    <w:rPr>
      <w:rFonts w:ascii="Times New Roman" w:hAnsi="Times New Roman" w:cs="Times New Roman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ListTable4-Accent4">
    <w:name w:val="List Table 4 - Accent 4"/>
    <w:basedOn w:val="a1"/>
    <w:uiPriority w:val="99"/>
    <w:pPr>
      <w:widowControl w:val="0"/>
      <w:spacing w:after="0" w:line="240" w:lineRule="auto"/>
    </w:pPr>
    <w:rPr>
      <w:rFonts w:ascii="Times New Roman" w:hAnsi="Times New Roman" w:cs="Times New Roman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ListTable4-Accent5">
    <w:name w:val="List Table 4 - Accent 5"/>
    <w:basedOn w:val="a1"/>
    <w:uiPriority w:val="99"/>
    <w:pPr>
      <w:widowControl w:val="0"/>
      <w:spacing w:after="0" w:line="240" w:lineRule="auto"/>
    </w:pPr>
    <w:rPr>
      <w:rFonts w:ascii="Times New Roman" w:hAnsi="Times New Roman" w:cs="Times New Roman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ListTable4-Accent6">
    <w:name w:val="List Table 4 - Accent 6"/>
    <w:basedOn w:val="a1"/>
    <w:uiPriority w:val="99"/>
    <w:pPr>
      <w:widowControl w:val="0"/>
      <w:spacing w:after="0" w:line="240" w:lineRule="auto"/>
    </w:pPr>
    <w:rPr>
      <w:rFonts w:ascii="Times New Roman" w:hAnsi="Times New Roman" w:cs="Times New Roman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styleId="-50">
    <w:name w:val="List Table 5 Dark"/>
    <w:basedOn w:val="a1"/>
    <w:uiPriority w:val="99"/>
    <w:pPr>
      <w:widowControl w:val="0"/>
      <w:spacing w:after="0" w:line="240" w:lineRule="auto"/>
    </w:pPr>
    <w:rPr>
      <w:rFonts w:ascii="Times New Roman" w:hAnsi="Times New Roman" w:cs="Times New Roman"/>
    </w:rPr>
    <w:tblPr>
      <w:tblCellMar>
        <w:left w:w="0" w:type="dxa"/>
        <w:right w:w="0" w:type="dxa"/>
      </w:tblCellMar>
    </w:tblPr>
  </w:style>
  <w:style w:type="table" w:customStyle="1" w:styleId="ListTable5Dark-Accent1">
    <w:name w:val="List Table 5 Dark - Accent 1"/>
    <w:basedOn w:val="a1"/>
    <w:uiPriority w:val="99"/>
    <w:pPr>
      <w:widowControl w:val="0"/>
      <w:spacing w:after="0" w:line="240" w:lineRule="auto"/>
    </w:pPr>
    <w:rPr>
      <w:rFonts w:ascii="Times New Roman" w:hAnsi="Times New Roman" w:cs="Times New Roman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ListTable5Dark-Accent2">
    <w:name w:val="List Table 5 Dark - Accent 2"/>
    <w:basedOn w:val="a1"/>
    <w:uiPriority w:val="99"/>
    <w:pPr>
      <w:widowControl w:val="0"/>
      <w:spacing w:after="0" w:line="240" w:lineRule="auto"/>
    </w:pPr>
    <w:rPr>
      <w:rFonts w:ascii="Times New Roman" w:hAnsi="Times New Roman" w:cs="Times New Roman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ListTable5Dark-Accent3">
    <w:name w:val="List Table 5 Dark - Accent 3"/>
    <w:basedOn w:val="a1"/>
    <w:uiPriority w:val="99"/>
    <w:pPr>
      <w:widowControl w:val="0"/>
      <w:spacing w:after="0" w:line="240" w:lineRule="auto"/>
    </w:pPr>
    <w:rPr>
      <w:rFonts w:ascii="Times New Roman" w:hAnsi="Times New Roman" w:cs="Times New Roman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ListTable5Dark-Accent4">
    <w:name w:val="List Table 5 Dark - Accent 4"/>
    <w:basedOn w:val="a1"/>
    <w:uiPriority w:val="99"/>
    <w:pPr>
      <w:widowControl w:val="0"/>
      <w:spacing w:after="0" w:line="240" w:lineRule="auto"/>
    </w:pPr>
    <w:rPr>
      <w:rFonts w:ascii="Times New Roman" w:hAnsi="Times New Roman" w:cs="Times New Roman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ListTable5Dark-Accent5">
    <w:name w:val="List Table 5 Dark - Accent 5"/>
    <w:basedOn w:val="a1"/>
    <w:uiPriority w:val="99"/>
    <w:pPr>
      <w:widowControl w:val="0"/>
      <w:spacing w:after="0" w:line="240" w:lineRule="auto"/>
    </w:pPr>
    <w:rPr>
      <w:rFonts w:ascii="Times New Roman" w:hAnsi="Times New Roman" w:cs="Times New Roman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ListTable5Dark-Accent6">
    <w:name w:val="List Table 5 Dark - Accent 6"/>
    <w:basedOn w:val="a1"/>
    <w:uiPriority w:val="99"/>
    <w:pPr>
      <w:widowControl w:val="0"/>
      <w:spacing w:after="0" w:line="240" w:lineRule="auto"/>
    </w:pPr>
    <w:rPr>
      <w:rFonts w:ascii="Times New Roman" w:hAnsi="Times New Roman" w:cs="Times New Roman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styleId="-60">
    <w:name w:val="List Table 6 Colorful"/>
    <w:basedOn w:val="a1"/>
    <w:uiPriority w:val="99"/>
    <w:pPr>
      <w:widowControl w:val="0"/>
      <w:spacing w:after="0" w:line="240" w:lineRule="auto"/>
    </w:pPr>
    <w:rPr>
      <w:rFonts w:ascii="Times New Roman" w:hAnsi="Times New Roman" w:cs="Times New Roman"/>
    </w:rPr>
    <w:tblPr>
      <w:tblCellMar>
        <w:left w:w="0" w:type="dxa"/>
        <w:right w:w="0" w:type="dxa"/>
      </w:tblCellMar>
    </w:tblPr>
  </w:style>
  <w:style w:type="table" w:customStyle="1" w:styleId="ListTable6Colorful-Accent1">
    <w:name w:val="List Table 6 Colorful - Accent 1"/>
    <w:basedOn w:val="a1"/>
    <w:uiPriority w:val="99"/>
    <w:pPr>
      <w:widowControl w:val="0"/>
      <w:spacing w:after="0" w:line="240" w:lineRule="auto"/>
    </w:pPr>
    <w:rPr>
      <w:rFonts w:ascii="Times New Roman" w:hAnsi="Times New Roman" w:cs="Times New Roman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ListTable6Colorful-Accent2">
    <w:name w:val="List Table 6 Colorful - Accent 2"/>
    <w:basedOn w:val="a1"/>
    <w:uiPriority w:val="99"/>
    <w:pPr>
      <w:widowControl w:val="0"/>
      <w:spacing w:after="0" w:line="240" w:lineRule="auto"/>
    </w:pPr>
    <w:rPr>
      <w:rFonts w:ascii="Times New Roman" w:hAnsi="Times New Roman" w:cs="Times New Roman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ListTable6Colorful-Accent3">
    <w:name w:val="List Table 6 Colorful - Accent 3"/>
    <w:basedOn w:val="a1"/>
    <w:uiPriority w:val="99"/>
    <w:pPr>
      <w:widowControl w:val="0"/>
      <w:spacing w:after="0" w:line="240" w:lineRule="auto"/>
    </w:pPr>
    <w:rPr>
      <w:rFonts w:ascii="Times New Roman" w:hAnsi="Times New Roman" w:cs="Times New Roman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ListTable6Colorful-Accent4">
    <w:name w:val="List Table 6 Colorful - Accent 4"/>
    <w:basedOn w:val="a1"/>
    <w:uiPriority w:val="99"/>
    <w:pPr>
      <w:widowControl w:val="0"/>
      <w:spacing w:after="0" w:line="240" w:lineRule="auto"/>
    </w:pPr>
    <w:rPr>
      <w:rFonts w:ascii="Times New Roman" w:hAnsi="Times New Roman" w:cs="Times New Roman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ListTable6Colorful-Accent5">
    <w:name w:val="List Table 6 Colorful - Accent 5"/>
    <w:basedOn w:val="a1"/>
    <w:uiPriority w:val="99"/>
    <w:pPr>
      <w:widowControl w:val="0"/>
      <w:spacing w:after="0" w:line="240" w:lineRule="auto"/>
    </w:pPr>
    <w:rPr>
      <w:rFonts w:ascii="Times New Roman" w:hAnsi="Times New Roman" w:cs="Times New Roman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ListTable6Colorful-Accent6">
    <w:name w:val="List Table 6 Colorful - Accent 6"/>
    <w:basedOn w:val="a1"/>
    <w:uiPriority w:val="99"/>
    <w:pPr>
      <w:widowControl w:val="0"/>
      <w:spacing w:after="0" w:line="240" w:lineRule="auto"/>
    </w:pPr>
    <w:rPr>
      <w:rFonts w:ascii="Times New Roman" w:hAnsi="Times New Roman" w:cs="Times New Roman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styleId="-70">
    <w:name w:val="List Table 7 Colorful"/>
    <w:basedOn w:val="a1"/>
    <w:uiPriority w:val="99"/>
    <w:pPr>
      <w:widowControl w:val="0"/>
      <w:spacing w:after="0" w:line="240" w:lineRule="auto"/>
    </w:pPr>
    <w:rPr>
      <w:rFonts w:ascii="Times New Roman" w:hAnsi="Times New Roman" w:cs="Times New Roman"/>
    </w:rPr>
    <w:tblPr>
      <w:tblCellMar>
        <w:left w:w="0" w:type="dxa"/>
        <w:right w:w="0" w:type="dxa"/>
      </w:tblCellMar>
    </w:tblPr>
  </w:style>
  <w:style w:type="table" w:customStyle="1" w:styleId="ListTable7Colorful-Accent1">
    <w:name w:val="List Table 7 Colorful - Accent 1"/>
    <w:basedOn w:val="a1"/>
    <w:uiPriority w:val="99"/>
    <w:pPr>
      <w:widowControl w:val="0"/>
      <w:spacing w:after="0" w:line="240" w:lineRule="auto"/>
    </w:pPr>
    <w:rPr>
      <w:rFonts w:ascii="Times New Roman" w:hAnsi="Times New Roman" w:cs="Times New Roman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ListTable7Colorful-Accent2">
    <w:name w:val="List Table 7 Colorful - Accent 2"/>
    <w:basedOn w:val="a1"/>
    <w:uiPriority w:val="99"/>
    <w:pPr>
      <w:widowControl w:val="0"/>
      <w:spacing w:after="0" w:line="240" w:lineRule="auto"/>
    </w:pPr>
    <w:rPr>
      <w:rFonts w:ascii="Times New Roman" w:hAnsi="Times New Roman" w:cs="Times New Roman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ListTable7Colorful-Accent3">
    <w:name w:val="List Table 7 Colorful - Accent 3"/>
    <w:basedOn w:val="a1"/>
    <w:uiPriority w:val="99"/>
    <w:pPr>
      <w:widowControl w:val="0"/>
      <w:spacing w:after="0" w:line="240" w:lineRule="auto"/>
    </w:pPr>
    <w:rPr>
      <w:rFonts w:ascii="Times New Roman" w:hAnsi="Times New Roman" w:cs="Times New Roman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ListTable7Colorful-Accent4">
    <w:name w:val="List Table 7 Colorful - Accent 4"/>
    <w:basedOn w:val="a1"/>
    <w:uiPriority w:val="99"/>
    <w:pPr>
      <w:widowControl w:val="0"/>
      <w:spacing w:after="0" w:line="240" w:lineRule="auto"/>
    </w:pPr>
    <w:rPr>
      <w:rFonts w:ascii="Times New Roman" w:hAnsi="Times New Roman" w:cs="Times New Roman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ListTable7Colorful-Accent5">
    <w:name w:val="List Table 7 Colorful - Accent 5"/>
    <w:basedOn w:val="a1"/>
    <w:uiPriority w:val="99"/>
    <w:pPr>
      <w:widowControl w:val="0"/>
      <w:spacing w:after="0" w:line="240" w:lineRule="auto"/>
    </w:pPr>
    <w:rPr>
      <w:rFonts w:ascii="Times New Roman" w:hAnsi="Times New Roman" w:cs="Times New Roman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ListTable7Colorful-Accent6">
    <w:name w:val="List Table 7 Colorful - Accent 6"/>
    <w:basedOn w:val="a1"/>
    <w:uiPriority w:val="99"/>
    <w:pPr>
      <w:widowControl w:val="0"/>
      <w:spacing w:after="0" w:line="240" w:lineRule="auto"/>
    </w:pPr>
    <w:rPr>
      <w:rFonts w:ascii="Times New Roman" w:hAnsi="Times New Roman" w:cs="Times New Roman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Lined-Accent">
    <w:name w:val="Lined - Accent"/>
    <w:basedOn w:val="a1"/>
    <w:uiPriority w:val="99"/>
    <w:pPr>
      <w:widowControl w:val="0"/>
      <w:spacing w:after="0" w:line="240" w:lineRule="auto"/>
    </w:pPr>
    <w:rPr>
      <w:rFonts w:ascii="Times New Roman" w:hAnsi="Times New Roman" w:cs="Times New Roman"/>
      <w:color w:val="404040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Lined-Accent1">
    <w:name w:val="Lined - Accent 1"/>
    <w:basedOn w:val="a1"/>
    <w:uiPriority w:val="99"/>
    <w:pPr>
      <w:widowControl w:val="0"/>
      <w:spacing w:after="0" w:line="240" w:lineRule="auto"/>
    </w:pPr>
    <w:rPr>
      <w:rFonts w:ascii="Times New Roman" w:hAnsi="Times New Roman" w:cs="Times New Roman"/>
      <w:color w:val="404040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Lined-Accent2">
    <w:name w:val="Lined - Accent 2"/>
    <w:basedOn w:val="a1"/>
    <w:uiPriority w:val="99"/>
    <w:pPr>
      <w:widowControl w:val="0"/>
      <w:spacing w:after="0" w:line="240" w:lineRule="auto"/>
    </w:pPr>
    <w:rPr>
      <w:rFonts w:ascii="Times New Roman" w:hAnsi="Times New Roman" w:cs="Times New Roman"/>
      <w:color w:val="404040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Lined-Accent3">
    <w:name w:val="Lined - Accent 3"/>
    <w:basedOn w:val="a1"/>
    <w:uiPriority w:val="99"/>
    <w:pPr>
      <w:widowControl w:val="0"/>
      <w:spacing w:after="0" w:line="240" w:lineRule="auto"/>
    </w:pPr>
    <w:rPr>
      <w:rFonts w:ascii="Times New Roman" w:hAnsi="Times New Roman" w:cs="Times New Roman"/>
      <w:color w:val="404040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Lined-Accent4">
    <w:name w:val="Lined - Accent 4"/>
    <w:basedOn w:val="a1"/>
    <w:uiPriority w:val="99"/>
    <w:pPr>
      <w:widowControl w:val="0"/>
      <w:spacing w:after="0" w:line="240" w:lineRule="auto"/>
    </w:pPr>
    <w:rPr>
      <w:rFonts w:ascii="Times New Roman" w:hAnsi="Times New Roman" w:cs="Times New Roman"/>
      <w:color w:val="404040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Lined-Accent5">
    <w:name w:val="Lined - Accent 5"/>
    <w:basedOn w:val="a1"/>
    <w:uiPriority w:val="99"/>
    <w:pPr>
      <w:widowControl w:val="0"/>
      <w:spacing w:after="0" w:line="240" w:lineRule="auto"/>
    </w:pPr>
    <w:rPr>
      <w:rFonts w:ascii="Times New Roman" w:hAnsi="Times New Roman" w:cs="Times New Roman"/>
      <w:color w:val="404040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Lined-Accent6">
    <w:name w:val="Lined - Accent 6"/>
    <w:basedOn w:val="a1"/>
    <w:uiPriority w:val="99"/>
    <w:pPr>
      <w:widowControl w:val="0"/>
      <w:spacing w:after="0" w:line="240" w:lineRule="auto"/>
    </w:pPr>
    <w:rPr>
      <w:rFonts w:ascii="Times New Roman" w:hAnsi="Times New Roman" w:cs="Times New Roman"/>
      <w:color w:val="404040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BorderedLined-Accent">
    <w:name w:val="Bordered &amp; Lined - Accent"/>
    <w:basedOn w:val="a1"/>
    <w:uiPriority w:val="99"/>
    <w:pPr>
      <w:widowControl w:val="0"/>
      <w:spacing w:after="0" w:line="240" w:lineRule="auto"/>
    </w:pPr>
    <w:rPr>
      <w:rFonts w:ascii="Times New Roman" w:hAnsi="Times New Roman" w:cs="Times New Roman"/>
      <w:color w:val="404040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BorderedLined-Accent1">
    <w:name w:val="Bordered &amp; Lined - Accent 1"/>
    <w:basedOn w:val="a1"/>
    <w:uiPriority w:val="99"/>
    <w:pPr>
      <w:widowControl w:val="0"/>
      <w:spacing w:after="0" w:line="240" w:lineRule="auto"/>
    </w:pPr>
    <w:rPr>
      <w:rFonts w:ascii="Times New Roman" w:hAnsi="Times New Roman" w:cs="Times New Roman"/>
      <w:color w:val="404040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BorderedLined-Accent2">
    <w:name w:val="Bordered &amp; Lined - Accent 2"/>
    <w:basedOn w:val="a1"/>
    <w:uiPriority w:val="99"/>
    <w:pPr>
      <w:widowControl w:val="0"/>
      <w:spacing w:after="0" w:line="240" w:lineRule="auto"/>
    </w:pPr>
    <w:rPr>
      <w:rFonts w:ascii="Times New Roman" w:hAnsi="Times New Roman" w:cs="Times New Roman"/>
      <w:color w:val="404040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BorderedLined-Accent3">
    <w:name w:val="Bordered &amp; Lined - Accent 3"/>
    <w:basedOn w:val="a1"/>
    <w:uiPriority w:val="99"/>
    <w:pPr>
      <w:widowControl w:val="0"/>
      <w:spacing w:after="0" w:line="240" w:lineRule="auto"/>
    </w:pPr>
    <w:rPr>
      <w:rFonts w:ascii="Times New Roman" w:hAnsi="Times New Roman" w:cs="Times New Roman"/>
      <w:color w:val="404040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BorderedLined-Accent4">
    <w:name w:val="Bordered &amp; Lined - Accent 4"/>
    <w:basedOn w:val="a1"/>
    <w:uiPriority w:val="99"/>
    <w:pPr>
      <w:widowControl w:val="0"/>
      <w:spacing w:after="0" w:line="240" w:lineRule="auto"/>
    </w:pPr>
    <w:rPr>
      <w:rFonts w:ascii="Times New Roman" w:hAnsi="Times New Roman" w:cs="Times New Roman"/>
      <w:color w:val="404040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BorderedLined-Accent5">
    <w:name w:val="Bordered &amp; Lined - Accent 5"/>
    <w:basedOn w:val="a1"/>
    <w:uiPriority w:val="99"/>
    <w:pPr>
      <w:widowControl w:val="0"/>
      <w:spacing w:after="0" w:line="240" w:lineRule="auto"/>
    </w:pPr>
    <w:rPr>
      <w:rFonts w:ascii="Times New Roman" w:hAnsi="Times New Roman" w:cs="Times New Roman"/>
      <w:color w:val="404040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BorderedLined-Accent6">
    <w:name w:val="Bordered &amp; Lined - Accent 6"/>
    <w:basedOn w:val="a1"/>
    <w:uiPriority w:val="99"/>
    <w:pPr>
      <w:widowControl w:val="0"/>
      <w:spacing w:after="0" w:line="240" w:lineRule="auto"/>
    </w:pPr>
    <w:rPr>
      <w:rFonts w:ascii="Times New Roman" w:hAnsi="Times New Roman" w:cs="Times New Roman"/>
      <w:color w:val="404040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Bordered">
    <w:name w:val="Bordered"/>
    <w:basedOn w:val="a1"/>
    <w:uiPriority w:val="99"/>
    <w:pPr>
      <w:widowControl w:val="0"/>
      <w:spacing w:after="0" w:line="240" w:lineRule="auto"/>
    </w:pPr>
    <w:rPr>
      <w:rFonts w:ascii="Times New Roman" w:hAnsi="Times New Roman" w:cs="Times New Roman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Bordered-Accent1">
    <w:name w:val="Bordered - Accent 1"/>
    <w:basedOn w:val="a1"/>
    <w:uiPriority w:val="99"/>
    <w:pPr>
      <w:widowControl w:val="0"/>
      <w:spacing w:after="0" w:line="240" w:lineRule="auto"/>
    </w:pPr>
    <w:rPr>
      <w:rFonts w:ascii="Times New Roman" w:hAnsi="Times New Roman" w:cs="Times New Roman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Bordered-Accent2">
    <w:name w:val="Bordered - Accent 2"/>
    <w:basedOn w:val="a1"/>
    <w:uiPriority w:val="99"/>
    <w:pPr>
      <w:widowControl w:val="0"/>
      <w:spacing w:after="0" w:line="240" w:lineRule="auto"/>
    </w:pPr>
    <w:rPr>
      <w:rFonts w:ascii="Times New Roman" w:hAnsi="Times New Roman" w:cs="Times New Roman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Bordered-Accent3">
    <w:name w:val="Bordered - Accent 3"/>
    <w:basedOn w:val="a1"/>
    <w:uiPriority w:val="99"/>
    <w:pPr>
      <w:widowControl w:val="0"/>
      <w:spacing w:after="0" w:line="240" w:lineRule="auto"/>
    </w:pPr>
    <w:rPr>
      <w:rFonts w:ascii="Times New Roman" w:hAnsi="Times New Roman" w:cs="Times New Roman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Bordered-Accent4">
    <w:name w:val="Bordered - Accent 4"/>
    <w:basedOn w:val="a1"/>
    <w:uiPriority w:val="99"/>
    <w:pPr>
      <w:widowControl w:val="0"/>
      <w:spacing w:after="0" w:line="240" w:lineRule="auto"/>
    </w:pPr>
    <w:rPr>
      <w:rFonts w:ascii="Times New Roman" w:hAnsi="Times New Roman" w:cs="Times New Roman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Bordered-Accent5">
    <w:name w:val="Bordered - Accent 5"/>
    <w:basedOn w:val="a1"/>
    <w:uiPriority w:val="99"/>
    <w:pPr>
      <w:widowControl w:val="0"/>
      <w:spacing w:after="0" w:line="240" w:lineRule="auto"/>
    </w:pPr>
    <w:rPr>
      <w:rFonts w:ascii="Times New Roman" w:hAnsi="Times New Roman" w:cs="Times New Roman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Bordered-Accent6">
    <w:name w:val="Bordered - Accent 6"/>
    <w:basedOn w:val="a1"/>
    <w:uiPriority w:val="99"/>
    <w:pPr>
      <w:widowControl w:val="0"/>
      <w:spacing w:after="0" w:line="240" w:lineRule="auto"/>
    </w:pPr>
    <w:rPr>
      <w:rFonts w:ascii="Times New Roman" w:hAnsi="Times New Roman" w:cs="Times New Roman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character" w:styleId="af0">
    <w:name w:val="Hyperlink"/>
    <w:basedOn w:val="a0"/>
    <w:uiPriority w:val="99"/>
    <w:unhideWhenUsed/>
    <w:rPr>
      <w:color w:val="0000FF"/>
      <w:u w:val="single"/>
    </w:rPr>
  </w:style>
  <w:style w:type="character" w:customStyle="1" w:styleId="17">
    <w:name w:val="Текст сноски Знак1"/>
    <w:link w:val="af1"/>
    <w:uiPriority w:val="99"/>
    <w:rPr>
      <w:sz w:val="18"/>
      <w:szCs w:val="18"/>
    </w:rPr>
  </w:style>
  <w:style w:type="character" w:customStyle="1" w:styleId="18">
    <w:name w:val="Текст концевой сноски Знак1"/>
    <w:link w:val="af2"/>
    <w:uiPriority w:val="99"/>
    <w:rPr>
      <w:sz w:val="20"/>
      <w:szCs w:val="20"/>
    </w:rPr>
  </w:style>
  <w:style w:type="paragraph" w:styleId="19">
    <w:name w:val="toc 1"/>
    <w:basedOn w:val="a"/>
    <w:next w:val="a"/>
    <w:uiPriority w:val="99"/>
    <w:unhideWhenUsed/>
    <w:pPr>
      <w:spacing w:after="57" w:line="240" w:lineRule="auto"/>
    </w:pPr>
    <w:rPr>
      <w:rFonts w:ascii="Times New Roman" w:hAnsi="Times New Roman" w:cs="Times New Roman"/>
      <w:sz w:val="24"/>
      <w:szCs w:val="24"/>
    </w:rPr>
  </w:style>
  <w:style w:type="paragraph" w:styleId="25">
    <w:name w:val="toc 2"/>
    <w:basedOn w:val="a"/>
    <w:next w:val="a"/>
    <w:uiPriority w:val="99"/>
    <w:unhideWhenUsed/>
    <w:pPr>
      <w:spacing w:after="57" w:line="240" w:lineRule="auto"/>
      <w:ind w:left="283"/>
    </w:pPr>
    <w:rPr>
      <w:rFonts w:ascii="Times New Roman" w:hAnsi="Times New Roman" w:cs="Times New Roman"/>
      <w:sz w:val="24"/>
      <w:szCs w:val="24"/>
    </w:rPr>
  </w:style>
  <w:style w:type="paragraph" w:styleId="33">
    <w:name w:val="toc 3"/>
    <w:basedOn w:val="a"/>
    <w:next w:val="a"/>
    <w:uiPriority w:val="99"/>
    <w:unhideWhenUsed/>
    <w:pPr>
      <w:spacing w:after="57" w:line="240" w:lineRule="auto"/>
      <w:ind w:left="567"/>
    </w:pPr>
    <w:rPr>
      <w:rFonts w:ascii="Times New Roman" w:hAnsi="Times New Roman" w:cs="Times New Roman"/>
      <w:sz w:val="24"/>
      <w:szCs w:val="24"/>
    </w:rPr>
  </w:style>
  <w:style w:type="paragraph" w:styleId="43">
    <w:name w:val="toc 4"/>
    <w:basedOn w:val="a"/>
    <w:next w:val="a"/>
    <w:uiPriority w:val="99"/>
    <w:unhideWhenUsed/>
    <w:pPr>
      <w:spacing w:after="57" w:line="240" w:lineRule="auto"/>
      <w:ind w:left="850"/>
    </w:pPr>
    <w:rPr>
      <w:rFonts w:ascii="Times New Roman" w:hAnsi="Times New Roman" w:cs="Times New Roman"/>
      <w:sz w:val="24"/>
      <w:szCs w:val="24"/>
    </w:rPr>
  </w:style>
  <w:style w:type="paragraph" w:styleId="53">
    <w:name w:val="toc 5"/>
    <w:basedOn w:val="a"/>
    <w:next w:val="a"/>
    <w:uiPriority w:val="99"/>
    <w:unhideWhenUsed/>
    <w:pPr>
      <w:spacing w:after="57" w:line="240" w:lineRule="auto"/>
      <w:ind w:left="1134"/>
    </w:pPr>
    <w:rPr>
      <w:rFonts w:ascii="Times New Roman" w:hAnsi="Times New Roman" w:cs="Times New Roman"/>
      <w:sz w:val="24"/>
      <w:szCs w:val="24"/>
    </w:rPr>
  </w:style>
  <w:style w:type="paragraph" w:styleId="62">
    <w:name w:val="toc 6"/>
    <w:basedOn w:val="a"/>
    <w:next w:val="a"/>
    <w:uiPriority w:val="99"/>
    <w:unhideWhenUsed/>
    <w:pPr>
      <w:spacing w:after="57" w:line="240" w:lineRule="auto"/>
      <w:ind w:left="1417"/>
    </w:pPr>
    <w:rPr>
      <w:rFonts w:ascii="Times New Roman" w:hAnsi="Times New Roman" w:cs="Times New Roman"/>
      <w:sz w:val="24"/>
      <w:szCs w:val="24"/>
    </w:rPr>
  </w:style>
  <w:style w:type="paragraph" w:styleId="72">
    <w:name w:val="toc 7"/>
    <w:basedOn w:val="a"/>
    <w:next w:val="a"/>
    <w:uiPriority w:val="99"/>
    <w:unhideWhenUsed/>
    <w:pPr>
      <w:spacing w:after="57" w:line="240" w:lineRule="auto"/>
      <w:ind w:left="1701"/>
    </w:pPr>
    <w:rPr>
      <w:rFonts w:ascii="Times New Roman" w:hAnsi="Times New Roman" w:cs="Times New Roman"/>
      <w:sz w:val="24"/>
      <w:szCs w:val="24"/>
    </w:rPr>
  </w:style>
  <w:style w:type="paragraph" w:styleId="82">
    <w:name w:val="toc 8"/>
    <w:basedOn w:val="a"/>
    <w:next w:val="a"/>
    <w:uiPriority w:val="99"/>
    <w:unhideWhenUsed/>
    <w:pPr>
      <w:spacing w:after="57" w:line="240" w:lineRule="auto"/>
      <w:ind w:left="1984"/>
    </w:pPr>
    <w:rPr>
      <w:rFonts w:ascii="Times New Roman" w:hAnsi="Times New Roman" w:cs="Times New Roman"/>
      <w:sz w:val="24"/>
      <w:szCs w:val="24"/>
    </w:rPr>
  </w:style>
  <w:style w:type="paragraph" w:styleId="92">
    <w:name w:val="toc 9"/>
    <w:basedOn w:val="a"/>
    <w:next w:val="a"/>
    <w:uiPriority w:val="99"/>
    <w:unhideWhenUsed/>
    <w:pPr>
      <w:spacing w:after="57" w:line="240" w:lineRule="auto"/>
      <w:ind w:left="2268"/>
    </w:pPr>
    <w:rPr>
      <w:rFonts w:ascii="Times New Roman" w:hAnsi="Times New Roman" w:cs="Times New Roman"/>
      <w:sz w:val="24"/>
      <w:szCs w:val="24"/>
    </w:rPr>
  </w:style>
  <w:style w:type="paragraph" w:styleId="af3">
    <w:name w:val="TOC Heading"/>
    <w:basedOn w:val="1"/>
    <w:next w:val="a"/>
    <w:uiPriority w:val="99"/>
    <w:qFormat/>
    <w:pPr>
      <w:keepNext w:val="0"/>
      <w:keepLines w:val="0"/>
      <w:spacing w:before="0" w:after="0"/>
      <w:outlineLvl w:val="9"/>
    </w:pPr>
    <w:rPr>
      <w:rFonts w:ascii="Times New Roman" w:hAnsi="Times New Roman" w:cs="Times New Roman"/>
      <w:sz w:val="24"/>
      <w:szCs w:val="24"/>
    </w:rPr>
  </w:style>
  <w:style w:type="paragraph" w:styleId="af4">
    <w:name w:val="table of figures"/>
    <w:basedOn w:val="a"/>
    <w:next w:val="a"/>
    <w:uiPriority w:val="99"/>
    <w:unhideWhenUsed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Normal">
    <w:name w:val="ConsPlusNormal"/>
    <w:pPr>
      <w:widowControl w:val="0"/>
      <w:spacing w:after="0" w:line="240" w:lineRule="auto"/>
    </w:pPr>
  </w:style>
  <w:style w:type="paragraph" w:customStyle="1" w:styleId="ConsPlusNonformat">
    <w:name w:val="ConsPlusNonformat"/>
    <w:uiPriority w:val="99"/>
    <w:pPr>
      <w:widowControl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spacing w:after="0" w:line="240" w:lineRule="auto"/>
    </w:pPr>
    <w:rPr>
      <w:rFonts w:ascii="Arial" w:hAnsi="Arial" w:cs="Arial"/>
      <w:b/>
      <w:bCs/>
    </w:rPr>
  </w:style>
  <w:style w:type="paragraph" w:customStyle="1" w:styleId="ConsPlusCell">
    <w:name w:val="ConsPlusCell"/>
    <w:uiPriority w:val="99"/>
    <w:pPr>
      <w:widowControl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spacing w:after="0" w:line="240" w:lineRule="auto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pPr>
      <w:widowControl w:val="0"/>
      <w:spacing w:after="0" w:line="240" w:lineRule="auto"/>
    </w:pPr>
    <w:rPr>
      <w:rFonts w:ascii="Tahoma" w:hAnsi="Tahoma" w:cs="Tahoma"/>
    </w:rPr>
  </w:style>
  <w:style w:type="paragraph" w:customStyle="1" w:styleId="ConsPlusJurTerm">
    <w:name w:val="ConsPlusJurTerm"/>
    <w:uiPriority w:val="99"/>
    <w:pPr>
      <w:widowControl w:val="0"/>
      <w:spacing w:after="0" w:line="240" w:lineRule="auto"/>
    </w:pPr>
    <w:rPr>
      <w:rFonts w:ascii="Tahoma" w:hAnsi="Tahoma" w:cs="Tahoma"/>
      <w:sz w:val="26"/>
      <w:szCs w:val="26"/>
    </w:rPr>
  </w:style>
  <w:style w:type="paragraph" w:customStyle="1" w:styleId="ConsPlusTextList">
    <w:name w:val="ConsPlusTextList"/>
    <w:uiPriority w:val="99"/>
    <w:pPr>
      <w:widowControl w:val="0"/>
      <w:spacing w:after="0" w:line="240" w:lineRule="auto"/>
    </w:pPr>
  </w:style>
  <w:style w:type="paragraph" w:customStyle="1" w:styleId="ConsPlusTextList1">
    <w:name w:val="ConsPlusTextList1"/>
    <w:uiPriority w:val="99"/>
    <w:pPr>
      <w:widowControl w:val="0"/>
      <w:spacing w:after="0" w:line="240" w:lineRule="auto"/>
    </w:pPr>
  </w:style>
  <w:style w:type="paragraph" w:styleId="af5">
    <w:name w:val="Balloon Text"/>
    <w:basedOn w:val="a"/>
    <w:link w:val="af6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6">
    <w:name w:val="Текст выноски Знак"/>
    <w:basedOn w:val="a0"/>
    <w:link w:val="af5"/>
    <w:uiPriority w:val="99"/>
    <w:semiHidden/>
    <w:rPr>
      <w:rFonts w:ascii="Segoe UI" w:hAnsi="Segoe UI" w:cs="Segoe UI"/>
      <w:sz w:val="18"/>
      <w:szCs w:val="18"/>
    </w:rPr>
  </w:style>
  <w:style w:type="paragraph" w:styleId="ab">
    <w:name w:val="header"/>
    <w:basedOn w:val="a"/>
    <w:link w:val="14"/>
    <w:uiPriority w:val="99"/>
    <w:unhideWhenUsed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uiPriority w:val="99"/>
    <w:rPr>
      <w:rFonts w:ascii="Calibri" w:hAnsi="Calibri" w:cs="Calibri"/>
    </w:rPr>
  </w:style>
  <w:style w:type="paragraph" w:styleId="ac">
    <w:name w:val="footer"/>
    <w:basedOn w:val="a"/>
    <w:link w:val="15"/>
    <w:uiPriority w:val="99"/>
    <w:unhideWhenUsed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uiPriority w:val="99"/>
    <w:rPr>
      <w:rFonts w:ascii="Calibri" w:hAnsi="Calibri" w:cs="Calibri"/>
    </w:rPr>
  </w:style>
  <w:style w:type="character" w:styleId="af9">
    <w:name w:val="endnote reference"/>
    <w:basedOn w:val="a0"/>
    <w:uiPriority w:val="99"/>
    <w:semiHidden/>
    <w:unhideWhenUsed/>
    <w:rPr>
      <w:rFonts w:ascii="Calibri" w:hAnsi="Calibri" w:cs="Calibri"/>
      <w:vertAlign w:val="superscript"/>
    </w:rPr>
  </w:style>
  <w:style w:type="paragraph" w:styleId="af2">
    <w:name w:val="endnote text"/>
    <w:basedOn w:val="a"/>
    <w:link w:val="18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a">
    <w:name w:val="Текст концевой сноски Знак"/>
    <w:basedOn w:val="a0"/>
    <w:uiPriority w:val="99"/>
    <w:semiHidden/>
    <w:rPr>
      <w:rFonts w:ascii="Calibri" w:hAnsi="Calibri" w:cs="Calibri"/>
    </w:rPr>
  </w:style>
  <w:style w:type="paragraph" w:styleId="af1">
    <w:name w:val="footnote text"/>
    <w:basedOn w:val="a"/>
    <w:link w:val="17"/>
    <w:uiPriority w:val="99"/>
    <w:semiHidden/>
    <w:unhideWhenUsed/>
    <w:rPr>
      <w:sz w:val="20"/>
      <w:szCs w:val="20"/>
    </w:rPr>
  </w:style>
  <w:style w:type="character" w:customStyle="1" w:styleId="afb">
    <w:name w:val="Текст сноски Знак"/>
    <w:basedOn w:val="a0"/>
    <w:uiPriority w:val="99"/>
    <w:semiHidden/>
    <w:rPr>
      <w:rFonts w:ascii="Calibri" w:hAnsi="Calibri" w:cs="Calibri"/>
    </w:rPr>
  </w:style>
  <w:style w:type="character" w:styleId="afc">
    <w:name w:val="footnote reference"/>
    <w:basedOn w:val="a0"/>
    <w:uiPriority w:val="99"/>
    <w:semiHidden/>
    <w:unhideWhenUsed/>
    <w:rPr>
      <w:rFonts w:ascii="Calibri" w:hAnsi="Calibri" w:cs="Calibri"/>
      <w:vertAlign w:val="superscript"/>
    </w:rPr>
  </w:style>
  <w:style w:type="paragraph" w:customStyle="1" w:styleId="TableParagraph">
    <w:name w:val="Table Paragraph"/>
    <w:basedOn w:val="a"/>
    <w:uiPriority w:val="99"/>
    <w:qFormat/>
    <w:pPr>
      <w:spacing w:after="0" w:line="240" w:lineRule="auto"/>
    </w:pPr>
  </w:style>
  <w:style w:type="paragraph" w:styleId="afd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png"/><Relationship Id="rId18" Type="http://schemas.openxmlformats.org/officeDocument/2006/relationships/image" Target="media/image30.png"/><Relationship Id="rId3" Type="http://schemas.openxmlformats.org/officeDocument/2006/relationships/webSettings" Target="webSettings.xml"/><Relationship Id="rId21" Type="http://schemas.openxmlformats.org/officeDocument/2006/relationships/footer" Target="footer1.xml"/><Relationship Id="rId12" Type="http://schemas.openxmlformats.org/officeDocument/2006/relationships/image" Target="media/media1.svg"/><Relationship Id="rId17" Type="http://schemas.openxmlformats.org/officeDocument/2006/relationships/image" Target="media/media3.svg"/><Relationship Id="rId2" Type="http://schemas.openxmlformats.org/officeDocument/2006/relationships/settings" Target="settings.xml"/><Relationship Id="rId16" Type="http://schemas.openxmlformats.org/officeDocument/2006/relationships/image" Target="media/image3.png"/><Relationship Id="rId20" Type="http://schemas.openxmlformats.org/officeDocument/2006/relationships/header" Target="header2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10.wmf"/><Relationship Id="rId5" Type="http://schemas.openxmlformats.org/officeDocument/2006/relationships/endnotes" Target="endnotes.xml"/><Relationship Id="rId15" Type="http://schemas.openxmlformats.org/officeDocument/2006/relationships/image" Target="media/image20.png"/><Relationship Id="rId23" Type="http://schemas.openxmlformats.org/officeDocument/2006/relationships/theme" Target="theme/theme1.xml"/><Relationship Id="rId19" Type="http://schemas.openxmlformats.org/officeDocument/2006/relationships/header" Target="header1.xml"/><Relationship Id="rId4" Type="http://schemas.openxmlformats.org/officeDocument/2006/relationships/footnotes" Target="footnotes.xml"/><Relationship Id="rId14" Type="http://schemas.openxmlformats.org/officeDocument/2006/relationships/image" Target="media/media2.sv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40</Pages>
  <Words>11655</Words>
  <Characters>66438</Characters>
  <Application>Microsoft Office Word</Application>
  <DocSecurity>0</DocSecurity>
  <Lines>553</Lines>
  <Paragraphs>155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&amp;quot;Тарифное соглашение в сфере обязательного медицинского страхования на территории Ставропольского края&amp;quot;(Заключено в г. Ставрополе 26.01.2024)(ред. от 22.10.2024)(вместе с &amp;quot;Перечнем основных терминов, понятий и сокращений, применяемых в наст</vt:lpstr>
    </vt:vector>
  </TitlesOfParts>
  <Company/>
  <LinksUpToDate>false</LinksUpToDate>
  <CharactersWithSpaces>77938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&amp;quot;Тарифное соглашение в сфере обязательного медицинского страхования на территории Ставропольского края&amp;quot;(Заключено в г. Ставрополе 26.01.2024)(ред. от 22.10.2024)(вместе с &amp;quot;Перечнем основных терминов, понятий и сокращений, применяемых в наст</dc:title>
  <dc:subject/>
  <dc:creator>Матюшенко Екатерина Юрьевна</dc:creator>
  <cp:keywords/>
  <dc:description/>
  <cp:lastModifiedBy>Глебова Людмила Егоровна</cp:lastModifiedBy>
  <cp:revision>14</cp:revision>
  <dcterms:created xsi:type="dcterms:W3CDTF">2025-12-18T12:07:00Z</dcterms:created>
  <dcterms:modified xsi:type="dcterms:W3CDTF">2026-03-27T12:40:00Z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lication">
    <vt:lpwstr>Р7-Офис/2025.3.1.923</vt:lpwstr>
  </property>
</Properties>
</file>